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4755" w14:textId="4EA581CC" w:rsidR="00353630" w:rsidRPr="00353630" w:rsidRDefault="00353630" w:rsidP="0035363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3630">
        <w:rPr>
          <w:rFonts w:ascii="Times New Roman" w:hAnsi="Times New Roman" w:cs="Times New Roman"/>
          <w:b/>
          <w:bCs/>
          <w:sz w:val="24"/>
          <w:szCs w:val="24"/>
        </w:rPr>
        <w:t>Electronic Supplementary Material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Pr="00353630">
        <w:rPr>
          <w:rFonts w:ascii="Times New Roman" w:hAnsi="Times New Roman" w:cs="Times New Roman"/>
          <w:b/>
          <w:bCs/>
          <w:sz w:val="24"/>
          <w:szCs w:val="24"/>
        </w:rPr>
        <w:t>“Wild legumes maintain beneficial soil rhizobia populations despite decades of nitrogen deposition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,” </w:t>
      </w:r>
      <w:proofErr w:type="spellStart"/>
      <w:r w:rsidRPr="003536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Oecologia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758594" w14:textId="77777777" w:rsidR="00C34D20" w:rsidRPr="00C4591B" w:rsidRDefault="00C34D20" w:rsidP="00AD6D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923D7B" w14:textId="14E88AEB" w:rsidR="00C34D20" w:rsidRPr="00C4591B" w:rsidRDefault="00C34D20" w:rsidP="00AD6D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530943748"/>
      <w:r w:rsidRPr="00C4591B">
        <w:rPr>
          <w:rFonts w:ascii="Times New Roman" w:hAnsi="Times New Roman" w:cs="Times New Roman"/>
          <w:sz w:val="24"/>
          <w:szCs w:val="24"/>
        </w:rPr>
        <w:t>Camille E. Wendlandt</w:t>
      </w:r>
      <w:r w:rsidRPr="00C459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591B">
        <w:rPr>
          <w:rFonts w:ascii="Times New Roman" w:hAnsi="Times New Roman" w:cs="Times New Roman"/>
          <w:sz w:val="24"/>
          <w:szCs w:val="24"/>
        </w:rPr>
        <w:t>, Kelsey A. Gano-Cohen</w:t>
      </w:r>
      <w:r w:rsidRPr="00C459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4591B">
        <w:rPr>
          <w:rFonts w:ascii="Times New Roman" w:hAnsi="Times New Roman" w:cs="Times New Roman"/>
          <w:sz w:val="24"/>
          <w:szCs w:val="24"/>
        </w:rPr>
        <w:t>, Peter J. N. Stokes</w:t>
      </w:r>
      <w:r w:rsidRPr="00C459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591B">
        <w:rPr>
          <w:rFonts w:ascii="Times New Roman" w:hAnsi="Times New Roman" w:cs="Times New Roman"/>
          <w:sz w:val="24"/>
          <w:szCs w:val="24"/>
        </w:rPr>
        <w:t>, Basava N. R. Jonnala</w:t>
      </w:r>
      <w:r w:rsidRPr="00C459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459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91B">
        <w:rPr>
          <w:rFonts w:ascii="Times New Roman" w:hAnsi="Times New Roman" w:cs="Times New Roman"/>
          <w:sz w:val="24"/>
          <w:szCs w:val="24"/>
        </w:rPr>
        <w:t>Avissa</w:t>
      </w:r>
      <w:proofErr w:type="spellEnd"/>
      <w:r w:rsidRPr="00C4591B">
        <w:rPr>
          <w:rFonts w:ascii="Times New Roman" w:hAnsi="Times New Roman" w:cs="Times New Roman"/>
          <w:sz w:val="24"/>
          <w:szCs w:val="24"/>
        </w:rPr>
        <w:t xml:space="preserve"> J. Zomorrodian</w:t>
      </w:r>
      <w:r w:rsidRPr="00C459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4591B">
        <w:rPr>
          <w:rFonts w:ascii="Times New Roman" w:hAnsi="Times New Roman" w:cs="Times New Roman"/>
          <w:sz w:val="24"/>
          <w:szCs w:val="24"/>
        </w:rPr>
        <w:t>, Khadija Al-Moussawi</w:t>
      </w:r>
      <w:r w:rsidRPr="00C459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4591B">
        <w:rPr>
          <w:rFonts w:ascii="Times New Roman" w:hAnsi="Times New Roman" w:cs="Times New Roman"/>
          <w:sz w:val="24"/>
          <w:szCs w:val="24"/>
        </w:rPr>
        <w:t>, Joel L. Sachs</w:t>
      </w:r>
      <w:r w:rsidRPr="00C4591B">
        <w:rPr>
          <w:rFonts w:ascii="Times New Roman" w:hAnsi="Times New Roman" w:cs="Times New Roman"/>
          <w:sz w:val="24"/>
          <w:szCs w:val="24"/>
          <w:vertAlign w:val="superscript"/>
        </w:rPr>
        <w:t>1,2,3,4</w:t>
      </w:r>
    </w:p>
    <w:bookmarkEnd w:id="0"/>
    <w:p w14:paraId="7E4D72CB" w14:textId="77777777" w:rsidR="00C34D20" w:rsidRPr="00C4591B" w:rsidRDefault="00C34D20" w:rsidP="00AD6D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39D126" w14:textId="40529A26" w:rsidR="00C34D20" w:rsidRPr="00C4591B" w:rsidRDefault="00C34D20" w:rsidP="00AD6DA8">
      <w:pPr>
        <w:spacing w:after="0" w:line="276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C459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591B">
        <w:rPr>
          <w:rFonts w:ascii="Times New Roman" w:hAnsi="Times New Roman" w:cs="Times New Roman"/>
          <w:sz w:val="24"/>
          <w:szCs w:val="24"/>
        </w:rPr>
        <w:t xml:space="preserve">Department of Botany and Plant Sciences, University of California, Riverside, CA 92521, </w:t>
      </w:r>
      <w:r w:rsidRPr="00C459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4591B">
        <w:rPr>
          <w:rFonts w:ascii="Times New Roman" w:hAnsi="Times New Roman" w:cs="Times New Roman"/>
          <w:sz w:val="24"/>
          <w:szCs w:val="24"/>
        </w:rPr>
        <w:t>Department of Microbiology and Plant Pathology, University of California, Riverside, CA 92521,</w:t>
      </w:r>
      <w:r w:rsidRPr="00C4591B">
        <w:rPr>
          <w:rFonts w:ascii="Times New Roman" w:hAnsi="Times New Roman" w:cs="Times New Roman"/>
          <w:sz w:val="24"/>
          <w:szCs w:val="24"/>
          <w:vertAlign w:val="superscript"/>
        </w:rPr>
        <w:t xml:space="preserve"> 3</w:t>
      </w:r>
      <w:r w:rsidRPr="00C4591B">
        <w:rPr>
          <w:rFonts w:ascii="Times New Roman" w:hAnsi="Times New Roman" w:cs="Times New Roman"/>
          <w:sz w:val="24"/>
          <w:szCs w:val="24"/>
        </w:rPr>
        <w:t xml:space="preserve">Department of Evolution, Ecology &amp; Organismal Biology, University of California, Riverside, California 92521, </w:t>
      </w:r>
      <w:r w:rsidRPr="00C4591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4591B">
        <w:rPr>
          <w:rFonts w:ascii="Times New Roman" w:hAnsi="Times New Roman" w:cs="Times New Roman"/>
          <w:sz w:val="24"/>
          <w:szCs w:val="24"/>
        </w:rPr>
        <w:t xml:space="preserve">Author for correspondence; (951) 827-6357; </w:t>
      </w:r>
      <w:hyperlink r:id="rId7" w:history="1">
        <w:r w:rsidRPr="00C4591B">
          <w:rPr>
            <w:rStyle w:val="Hyperlink"/>
            <w:rFonts w:ascii="Times New Roman" w:hAnsi="Times New Roman" w:cs="Times New Roman"/>
            <w:sz w:val="24"/>
            <w:szCs w:val="24"/>
          </w:rPr>
          <w:t>joels@ucr.edu</w:t>
        </w:r>
      </w:hyperlink>
    </w:p>
    <w:p w14:paraId="6DFC8B6B" w14:textId="460DCCE5" w:rsidR="00C34D20" w:rsidRDefault="00C34D20" w:rsidP="00AD6DA8">
      <w:pPr>
        <w:spacing w:after="0" w:line="276" w:lineRule="auto"/>
      </w:pPr>
    </w:p>
    <w:p w14:paraId="1A7A4922" w14:textId="60544BF5" w:rsidR="00AD6DA8" w:rsidRDefault="00AD6DA8" w:rsidP="00720624">
      <w:pPr>
        <w:spacing w:after="0" w:line="276" w:lineRule="auto"/>
      </w:pPr>
    </w:p>
    <w:p w14:paraId="1CF2CF19" w14:textId="0A75E864" w:rsidR="00AD6DA8" w:rsidRDefault="00353630" w:rsidP="00353630">
      <w:pPr>
        <w:spacing w:after="0" w:line="276" w:lineRule="auto"/>
        <w:jc w:val="center"/>
      </w:pPr>
      <w:r>
        <w:rPr>
          <w:noProof/>
        </w:rPr>
        <w:drawing>
          <wp:inline distT="0" distB="0" distL="0" distR="0" wp14:anchorId="6861001E" wp14:editId="502FD6AC">
            <wp:extent cx="2514600" cy="37553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5396" cy="375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34124" w14:textId="77777777" w:rsidR="00C0197F" w:rsidRDefault="00720624" w:rsidP="00720624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C0197F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Figure S</w:t>
      </w:r>
      <w:r w:rsidR="00AD6DA8">
        <w:rPr>
          <w:rFonts w:ascii="Times New Roman" w:hAnsi="Times New Roman"/>
          <w:b/>
          <w:sz w:val="24"/>
          <w:szCs w:val="24"/>
        </w:rPr>
        <w:t>1</w:t>
      </w:r>
      <w:r w:rsidR="00AD6DA8" w:rsidRPr="00711BF1">
        <w:rPr>
          <w:rFonts w:ascii="Times New Roman" w:hAnsi="Times New Roman"/>
          <w:sz w:val="24"/>
          <w:szCs w:val="24"/>
        </w:rPr>
        <w:t xml:space="preserve">. </w:t>
      </w:r>
      <w:r w:rsidR="00AD6DA8">
        <w:rPr>
          <w:rFonts w:ascii="Times New Roman" w:hAnsi="Times New Roman"/>
          <w:sz w:val="24"/>
          <w:szCs w:val="24"/>
        </w:rPr>
        <w:t xml:space="preserve">Location of six </w:t>
      </w:r>
      <w:proofErr w:type="spellStart"/>
      <w:r w:rsidR="00AD6DA8" w:rsidRPr="00F0500C">
        <w:rPr>
          <w:rFonts w:ascii="Times New Roman" w:hAnsi="Times New Roman"/>
          <w:i/>
          <w:iCs/>
          <w:sz w:val="24"/>
          <w:szCs w:val="24"/>
        </w:rPr>
        <w:t>Acmispon</w:t>
      </w:r>
      <w:proofErr w:type="spellEnd"/>
      <w:r w:rsidR="00AD6DA8" w:rsidRPr="00F0500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D6DA8" w:rsidRPr="00F0500C">
        <w:rPr>
          <w:rFonts w:ascii="Times New Roman" w:hAnsi="Times New Roman"/>
          <w:i/>
          <w:iCs/>
          <w:sz w:val="24"/>
          <w:szCs w:val="24"/>
        </w:rPr>
        <w:t>strigosus</w:t>
      </w:r>
      <w:proofErr w:type="spellEnd"/>
      <w:r w:rsidR="00AD6DA8">
        <w:rPr>
          <w:rFonts w:ascii="Times New Roman" w:hAnsi="Times New Roman"/>
          <w:sz w:val="24"/>
          <w:szCs w:val="24"/>
        </w:rPr>
        <w:t xml:space="preserve"> field sites in California, USA. Sites are colored </w:t>
      </w:r>
      <w:r w:rsidR="00AD6DA8">
        <w:rPr>
          <w:rFonts w:ascii="Times New Roman" w:hAnsi="Times New Roman" w:cs="Times New Roman"/>
          <w:sz w:val="24"/>
          <w:szCs w:val="24"/>
        </w:rPr>
        <w:t>by nitrogen regime (i.e., N</w:t>
      </w:r>
      <w:r w:rsidR="00AD6DA8" w:rsidRPr="00525930">
        <w:rPr>
          <w:rFonts w:ascii="Times New Roman" w:hAnsi="Times New Roman" w:cs="Times New Roman"/>
          <w:sz w:val="24"/>
          <w:szCs w:val="24"/>
          <w:vertAlign w:val="subscript"/>
        </w:rPr>
        <w:t>PC1</w:t>
      </w:r>
      <w:r w:rsidR="00AD6DA8">
        <w:rPr>
          <w:rFonts w:ascii="Times New Roman" w:hAnsi="Times New Roman" w:cs="Times New Roman"/>
          <w:sz w:val="24"/>
          <w:szCs w:val="24"/>
        </w:rPr>
        <w:t xml:space="preserve"> values; see Fig. 1), ranging from blue (low nitrogen) to red (high nitrogen).</w:t>
      </w:r>
    </w:p>
    <w:p w14:paraId="185CE2A1" w14:textId="23138AF3" w:rsidR="003911E9" w:rsidRPr="00C0197F" w:rsidRDefault="00C0197F" w:rsidP="00C019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FC65EC6" wp14:editId="45826912">
            <wp:extent cx="5000625" cy="425587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403" cy="425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E3DDD" w14:textId="28126C35" w:rsidR="00C0197F" w:rsidRDefault="003911E9" w:rsidP="00C0197F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C019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0197F">
        <w:rPr>
          <w:rFonts w:ascii="Times New Roman" w:hAnsi="Times New Roman" w:cs="Times New Roman"/>
          <w:b/>
          <w:bCs/>
          <w:sz w:val="24"/>
          <w:szCs w:val="24"/>
        </w:rPr>
        <w:t>Figure S2.</w:t>
      </w:r>
      <w:r w:rsidRPr="00C0197F">
        <w:rPr>
          <w:rFonts w:ascii="Times New Roman" w:hAnsi="Times New Roman" w:cs="Times New Roman"/>
          <w:sz w:val="24"/>
          <w:szCs w:val="24"/>
        </w:rPr>
        <w:t xml:space="preserve"> Greenhouse experimental design.</w:t>
      </w:r>
      <w:r w:rsidR="007B153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8824228"/>
      <w:r w:rsidR="007B1534">
        <w:rPr>
          <w:rFonts w:ascii="Times New Roman" w:hAnsi="Times New Roman" w:cs="Times New Roman"/>
          <w:sz w:val="24"/>
          <w:szCs w:val="24"/>
        </w:rPr>
        <w:t xml:space="preserve">We used one live and one sterilized soil inoculum from each of six field sites, for a total of twelve </w:t>
      </w:r>
      <w:proofErr w:type="spellStart"/>
      <w:r w:rsidR="007B1534">
        <w:rPr>
          <w:rFonts w:ascii="Times New Roman" w:hAnsi="Times New Roman" w:cs="Times New Roman"/>
          <w:sz w:val="24"/>
          <w:szCs w:val="24"/>
        </w:rPr>
        <w:t>inocula</w:t>
      </w:r>
      <w:proofErr w:type="spellEnd"/>
      <w:r w:rsidR="007B1534">
        <w:rPr>
          <w:rFonts w:ascii="Times New Roman" w:hAnsi="Times New Roman" w:cs="Times New Roman"/>
          <w:sz w:val="24"/>
          <w:szCs w:val="24"/>
        </w:rPr>
        <w:t xml:space="preserve"> in the </w:t>
      </w:r>
      <w:r w:rsidR="00C0197F">
        <w:rPr>
          <w:rFonts w:ascii="Times New Roman" w:hAnsi="Times New Roman" w:cs="Times New Roman"/>
          <w:sz w:val="24"/>
          <w:szCs w:val="24"/>
        </w:rPr>
        <w:t>greenhouse experiment</w:t>
      </w:r>
      <w:r w:rsidR="007B1534">
        <w:rPr>
          <w:rFonts w:ascii="Times New Roman" w:hAnsi="Times New Roman" w:cs="Times New Roman"/>
          <w:sz w:val="24"/>
          <w:szCs w:val="24"/>
        </w:rPr>
        <w:t>.</w:t>
      </w:r>
      <w:r w:rsidR="004C7106">
        <w:rPr>
          <w:rFonts w:ascii="Times New Roman" w:hAnsi="Times New Roman" w:cs="Times New Roman"/>
          <w:sz w:val="24"/>
          <w:szCs w:val="24"/>
        </w:rPr>
        <w:t xml:space="preserve"> E</w:t>
      </w:r>
      <w:r w:rsidR="007B1534">
        <w:rPr>
          <w:rFonts w:ascii="Times New Roman" w:hAnsi="Times New Roman" w:cs="Times New Roman"/>
          <w:sz w:val="24"/>
          <w:szCs w:val="24"/>
        </w:rPr>
        <w:t>ach inoculum was applied to one cluster of five plants</w:t>
      </w:r>
      <w:r w:rsidR="004C7106">
        <w:rPr>
          <w:rFonts w:ascii="Times New Roman" w:hAnsi="Times New Roman" w:cs="Times New Roman"/>
          <w:sz w:val="24"/>
          <w:szCs w:val="24"/>
        </w:rPr>
        <w:t xml:space="preserve"> within each of ten experimental blocks</w:t>
      </w:r>
      <w:r w:rsidR="007B1534">
        <w:rPr>
          <w:rFonts w:ascii="Times New Roman" w:hAnsi="Times New Roman" w:cs="Times New Roman"/>
          <w:sz w:val="24"/>
          <w:szCs w:val="24"/>
        </w:rPr>
        <w:t xml:space="preserve">. We randomly assigned live </w:t>
      </w:r>
      <w:proofErr w:type="spellStart"/>
      <w:r w:rsidR="007B1534">
        <w:rPr>
          <w:rFonts w:ascii="Times New Roman" w:hAnsi="Times New Roman" w:cs="Times New Roman"/>
          <w:sz w:val="24"/>
          <w:szCs w:val="24"/>
        </w:rPr>
        <w:t>inocula</w:t>
      </w:r>
      <w:proofErr w:type="spellEnd"/>
      <w:r w:rsidR="007B1534">
        <w:rPr>
          <w:rFonts w:ascii="Times New Roman" w:hAnsi="Times New Roman" w:cs="Times New Roman"/>
          <w:sz w:val="24"/>
          <w:szCs w:val="24"/>
        </w:rPr>
        <w:t xml:space="preserve"> to non-adjacent clusters and randomly assigned sterilized </w:t>
      </w:r>
      <w:proofErr w:type="spellStart"/>
      <w:r w:rsidR="007B1534">
        <w:rPr>
          <w:rFonts w:ascii="Times New Roman" w:hAnsi="Times New Roman" w:cs="Times New Roman"/>
          <w:sz w:val="24"/>
          <w:szCs w:val="24"/>
        </w:rPr>
        <w:t>inocula</w:t>
      </w:r>
      <w:proofErr w:type="spellEnd"/>
      <w:r w:rsidR="007B1534">
        <w:rPr>
          <w:rFonts w:ascii="Times New Roman" w:hAnsi="Times New Roman" w:cs="Times New Roman"/>
          <w:sz w:val="24"/>
          <w:szCs w:val="24"/>
        </w:rPr>
        <w:t xml:space="preserve"> to the remaining clusters, generating a checkerboard pattern of live and sterilized </w:t>
      </w:r>
      <w:proofErr w:type="spellStart"/>
      <w:r w:rsidR="007B1534">
        <w:rPr>
          <w:rFonts w:ascii="Times New Roman" w:hAnsi="Times New Roman" w:cs="Times New Roman"/>
          <w:sz w:val="24"/>
          <w:szCs w:val="24"/>
        </w:rPr>
        <w:t>inocula</w:t>
      </w:r>
      <w:proofErr w:type="spellEnd"/>
      <w:r w:rsidR="004C7106">
        <w:rPr>
          <w:rFonts w:ascii="Times New Roman" w:hAnsi="Times New Roman" w:cs="Times New Roman"/>
          <w:sz w:val="24"/>
          <w:szCs w:val="24"/>
        </w:rPr>
        <w:t xml:space="preserve"> to reduce the chance of cross-contamination among live </w:t>
      </w:r>
      <w:proofErr w:type="spellStart"/>
      <w:r w:rsidR="004C7106">
        <w:rPr>
          <w:rFonts w:ascii="Times New Roman" w:hAnsi="Times New Roman" w:cs="Times New Roman"/>
          <w:sz w:val="24"/>
          <w:szCs w:val="24"/>
        </w:rPr>
        <w:t>inocula</w:t>
      </w:r>
      <w:proofErr w:type="spellEnd"/>
      <w:r w:rsidR="004C7106">
        <w:rPr>
          <w:rFonts w:ascii="Times New Roman" w:hAnsi="Times New Roman" w:cs="Times New Roman"/>
          <w:sz w:val="24"/>
          <w:szCs w:val="24"/>
        </w:rPr>
        <w:t xml:space="preserve">. Within each inoculum cluster, three plants belonged to the </w:t>
      </w:r>
      <w:r w:rsidR="00824BD1">
        <w:rPr>
          <w:rFonts w:ascii="Times New Roman" w:hAnsi="Times New Roman" w:cs="Times New Roman"/>
          <w:sz w:val="24"/>
          <w:szCs w:val="24"/>
        </w:rPr>
        <w:t>Common</w:t>
      </w:r>
      <w:r w:rsidR="004C7106">
        <w:rPr>
          <w:rFonts w:ascii="Times New Roman" w:hAnsi="Times New Roman" w:cs="Times New Roman"/>
          <w:sz w:val="24"/>
          <w:szCs w:val="24"/>
        </w:rPr>
        <w:t xml:space="preserve"> Host </w:t>
      </w:r>
      <w:r w:rsidR="00824BD1">
        <w:rPr>
          <w:rFonts w:ascii="Times New Roman" w:hAnsi="Times New Roman" w:cs="Times New Roman"/>
          <w:sz w:val="24"/>
          <w:szCs w:val="24"/>
        </w:rPr>
        <w:t>E</w:t>
      </w:r>
      <w:r w:rsidR="004C7106">
        <w:rPr>
          <w:rFonts w:ascii="Times New Roman" w:hAnsi="Times New Roman" w:cs="Times New Roman"/>
          <w:sz w:val="24"/>
          <w:szCs w:val="24"/>
        </w:rPr>
        <w:t xml:space="preserve">xperiment (comprising one plant each of </w:t>
      </w:r>
      <w:r w:rsidR="00A92D62" w:rsidRPr="00C0197F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="00A92D62" w:rsidRPr="00C0197F"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 w:rsidR="00A92D62">
        <w:rPr>
          <w:rFonts w:ascii="Times New Roman" w:hAnsi="Times New Roman" w:cs="Times New Roman"/>
          <w:sz w:val="24"/>
          <w:szCs w:val="24"/>
        </w:rPr>
        <w:t xml:space="preserve"> Cla12.04</w:t>
      </w:r>
      <w:r w:rsidR="004C7106">
        <w:rPr>
          <w:rFonts w:ascii="Times New Roman" w:hAnsi="Times New Roman" w:cs="Times New Roman"/>
          <w:sz w:val="24"/>
          <w:szCs w:val="24"/>
        </w:rPr>
        <w:t xml:space="preserve">, </w:t>
      </w:r>
      <w:r w:rsidR="00A92D62" w:rsidRPr="00C0197F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="00A92D62" w:rsidRPr="00C0197F"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 w:rsidR="00A92D62">
        <w:rPr>
          <w:rFonts w:ascii="Times New Roman" w:hAnsi="Times New Roman" w:cs="Times New Roman"/>
          <w:sz w:val="24"/>
          <w:szCs w:val="24"/>
        </w:rPr>
        <w:t xml:space="preserve"> Anz13.04</w:t>
      </w:r>
      <w:r w:rsidR="004C7106">
        <w:rPr>
          <w:rFonts w:ascii="Times New Roman" w:hAnsi="Times New Roman" w:cs="Times New Roman"/>
          <w:sz w:val="24"/>
          <w:szCs w:val="24"/>
        </w:rPr>
        <w:t xml:space="preserve">, and </w:t>
      </w:r>
      <w:r w:rsidR="00A92D62" w:rsidRPr="00C0197F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="00A92D62" w:rsidRPr="00C0197F">
        <w:rPr>
          <w:rFonts w:ascii="Times New Roman" w:hAnsi="Times New Roman" w:cs="Times New Roman"/>
          <w:i/>
          <w:iCs/>
          <w:sz w:val="24"/>
          <w:szCs w:val="24"/>
        </w:rPr>
        <w:t>heermannii</w:t>
      </w:r>
      <w:proofErr w:type="spellEnd"/>
      <w:r w:rsidR="004C7106">
        <w:rPr>
          <w:rFonts w:ascii="Times New Roman" w:hAnsi="Times New Roman" w:cs="Times New Roman"/>
          <w:sz w:val="24"/>
          <w:szCs w:val="24"/>
        </w:rPr>
        <w:t xml:space="preserve">), and two plants belonged to the Sympatric Host </w:t>
      </w:r>
      <w:r w:rsidR="00824BD1">
        <w:rPr>
          <w:rFonts w:ascii="Times New Roman" w:hAnsi="Times New Roman" w:cs="Times New Roman"/>
          <w:sz w:val="24"/>
          <w:szCs w:val="24"/>
        </w:rPr>
        <w:t>E</w:t>
      </w:r>
      <w:r w:rsidR="004C7106">
        <w:rPr>
          <w:rFonts w:ascii="Times New Roman" w:hAnsi="Times New Roman" w:cs="Times New Roman"/>
          <w:sz w:val="24"/>
          <w:szCs w:val="24"/>
        </w:rPr>
        <w:t xml:space="preserve">xperiment (i.e., </w:t>
      </w:r>
      <w:r w:rsidR="00A92D62" w:rsidRPr="00C0197F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="00A92D62" w:rsidRPr="00C0197F"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 w:rsidR="004C7106">
        <w:rPr>
          <w:rFonts w:ascii="Times New Roman" w:hAnsi="Times New Roman" w:cs="Times New Roman"/>
          <w:sz w:val="24"/>
          <w:szCs w:val="24"/>
        </w:rPr>
        <w:t xml:space="preserve"> sourced from the same field site as the inoculum). </w:t>
      </w:r>
      <w:r w:rsidR="001D7D12">
        <w:rPr>
          <w:rFonts w:ascii="Times New Roman" w:hAnsi="Times New Roman" w:cs="Times New Roman"/>
          <w:sz w:val="24"/>
          <w:szCs w:val="24"/>
        </w:rPr>
        <w:t xml:space="preserve">There </w:t>
      </w:r>
      <w:proofErr w:type="gramStart"/>
      <w:r w:rsidR="001D7D12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1D7D12">
        <w:rPr>
          <w:rFonts w:ascii="Times New Roman" w:hAnsi="Times New Roman" w:cs="Times New Roman"/>
          <w:sz w:val="24"/>
          <w:szCs w:val="24"/>
        </w:rPr>
        <w:t xml:space="preserve"> a total of 60 plants per block and 600 plants total in the experiment (</w:t>
      </w:r>
      <w:r w:rsidR="00E75813">
        <w:rPr>
          <w:rFonts w:ascii="Times New Roman" w:hAnsi="Times New Roman" w:cs="Times New Roman"/>
          <w:sz w:val="24"/>
          <w:szCs w:val="24"/>
        </w:rPr>
        <w:t xml:space="preserve">actually 567 plants </w:t>
      </w:r>
      <w:r w:rsidR="001D7D12">
        <w:rPr>
          <w:rFonts w:ascii="Times New Roman" w:hAnsi="Times New Roman" w:cs="Times New Roman"/>
          <w:sz w:val="24"/>
          <w:szCs w:val="24"/>
        </w:rPr>
        <w:t xml:space="preserve">due to early </w:t>
      </w:r>
      <w:r w:rsidR="00E75813">
        <w:rPr>
          <w:rFonts w:ascii="Times New Roman" w:hAnsi="Times New Roman" w:cs="Times New Roman"/>
          <w:sz w:val="24"/>
          <w:szCs w:val="24"/>
        </w:rPr>
        <w:t xml:space="preserve">seedling </w:t>
      </w:r>
      <w:r w:rsidR="001D7D12">
        <w:rPr>
          <w:rFonts w:ascii="Times New Roman" w:hAnsi="Times New Roman" w:cs="Times New Roman"/>
          <w:sz w:val="24"/>
          <w:szCs w:val="24"/>
        </w:rPr>
        <w:t>mortality)</w:t>
      </w:r>
      <w:r w:rsidR="000E352E">
        <w:rPr>
          <w:rFonts w:ascii="Times New Roman" w:hAnsi="Times New Roman" w:cs="Times New Roman"/>
          <w:sz w:val="24"/>
          <w:szCs w:val="24"/>
        </w:rPr>
        <w:t>, with 360 plants analyzed as the Universal Host Experiment and 240 plants analyzed as the Sympatric Host Experiment.</w:t>
      </w:r>
      <w:bookmarkEnd w:id="1"/>
    </w:p>
    <w:p w14:paraId="102E75A7" w14:textId="6300864C" w:rsidR="00E0715B" w:rsidRDefault="00E0715B" w:rsidP="00720624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262D0BAB" wp14:editId="191D38E5">
            <wp:extent cx="5943600" cy="3354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0A44A" w14:textId="77777777" w:rsidR="00C0197F" w:rsidRDefault="00720624" w:rsidP="00720624">
      <w:pPr>
        <w:spacing w:line="276" w:lineRule="auto"/>
        <w:rPr>
          <w:rFonts w:ascii="Times New Roman" w:hAnsi="Times New Roman"/>
          <w:sz w:val="24"/>
          <w:szCs w:val="24"/>
        </w:rPr>
        <w:sectPr w:rsidR="00C019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Figure S</w:t>
      </w:r>
      <w:r w:rsidR="003911E9">
        <w:rPr>
          <w:rFonts w:ascii="Times New Roman" w:hAnsi="Times New Roman"/>
          <w:b/>
          <w:sz w:val="24"/>
          <w:szCs w:val="24"/>
        </w:rPr>
        <w:t>3</w:t>
      </w:r>
      <w:r w:rsidRPr="00711BF1">
        <w:rPr>
          <w:rFonts w:ascii="Times New Roman" w:hAnsi="Times New Roman"/>
          <w:sz w:val="24"/>
          <w:szCs w:val="24"/>
        </w:rPr>
        <w:t xml:space="preserve">. Scoring guide used by three independent observers to assess </w:t>
      </w:r>
      <w:proofErr w:type="spellStart"/>
      <w:r w:rsidRPr="00E66186"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cmispon</w:t>
      </w:r>
      <w:proofErr w:type="spellEnd"/>
      <w:r w:rsidRPr="00E6618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66186">
        <w:rPr>
          <w:rFonts w:ascii="Times New Roman" w:hAnsi="Times New Roman"/>
          <w:i/>
          <w:iCs/>
          <w:sz w:val="24"/>
          <w:szCs w:val="24"/>
        </w:rPr>
        <w:t>strigosus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11BF1">
        <w:rPr>
          <w:rFonts w:ascii="Times New Roman" w:hAnsi="Times New Roman"/>
          <w:sz w:val="24"/>
          <w:szCs w:val="24"/>
        </w:rPr>
        <w:t xml:space="preserve">nodule color from photographs taken at the time of plant harvest. Nodules scored as “Red/Pink” were used to calculate red nodule frequency for each plant. </w:t>
      </w:r>
    </w:p>
    <w:p w14:paraId="0F2D2247" w14:textId="37946524" w:rsidR="00825DA1" w:rsidRPr="00C0197F" w:rsidRDefault="00081E39" w:rsidP="00720624">
      <w:pPr>
        <w:spacing w:line="276" w:lineRule="auto"/>
        <w:rPr>
          <w:rFonts w:ascii="Times New Roman" w:hAnsi="Times New Roman"/>
          <w:sz w:val="24"/>
          <w:szCs w:val="24"/>
        </w:rPr>
      </w:pPr>
      <w:r w:rsidRPr="00081E39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2F8E67A" wp14:editId="31AEAC57">
            <wp:extent cx="4390476" cy="3428571"/>
            <wp:effectExtent l="0" t="0" r="0" b="635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5B83131-864A-4F7C-9ABB-CDB8EFBDD1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5B83131-864A-4F7C-9ABB-CDB8EFBDD1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0476" cy="3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41A59" w14:textId="77777777" w:rsidR="00C0197F" w:rsidRDefault="00825DA1" w:rsidP="00C0197F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C019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0197F">
        <w:rPr>
          <w:rFonts w:ascii="Times New Roman" w:hAnsi="Times New Roman"/>
          <w:b/>
          <w:bCs/>
          <w:sz w:val="24"/>
          <w:szCs w:val="24"/>
        </w:rPr>
        <w:t>Figure S4.</w:t>
      </w:r>
      <w:r w:rsidRPr="00C0197F">
        <w:rPr>
          <w:rFonts w:ascii="Times New Roman" w:hAnsi="Times New Roman"/>
          <w:sz w:val="24"/>
          <w:szCs w:val="24"/>
        </w:rPr>
        <w:t xml:space="preserve"> </w:t>
      </w:r>
      <w:r w:rsidR="008362E5">
        <w:rPr>
          <w:rFonts w:ascii="Times New Roman" w:hAnsi="Times New Roman" w:cs="Times New Roman"/>
          <w:sz w:val="24"/>
          <w:szCs w:val="24"/>
        </w:rPr>
        <w:t xml:space="preserve">Variation in plant relative growth for four types of </w:t>
      </w:r>
      <w:proofErr w:type="spellStart"/>
      <w:r w:rsidR="008362E5">
        <w:rPr>
          <w:rFonts w:ascii="Times New Roman" w:hAnsi="Times New Roman" w:cs="Times New Roman"/>
          <w:i/>
          <w:iCs/>
          <w:sz w:val="24"/>
          <w:szCs w:val="24"/>
        </w:rPr>
        <w:t>Acmispon</w:t>
      </w:r>
      <w:proofErr w:type="spellEnd"/>
      <w:r w:rsidR="008362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62E5">
        <w:rPr>
          <w:rFonts w:ascii="Times New Roman" w:hAnsi="Times New Roman" w:cs="Times New Roman"/>
          <w:sz w:val="24"/>
          <w:szCs w:val="24"/>
        </w:rPr>
        <w:t xml:space="preserve">plant hosts (sympatric </w:t>
      </w:r>
      <w:r w:rsidR="008362E5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="008362E5"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 w:rsidR="008362E5">
        <w:rPr>
          <w:rFonts w:ascii="Times New Roman" w:hAnsi="Times New Roman" w:cs="Times New Roman"/>
          <w:sz w:val="24"/>
          <w:szCs w:val="24"/>
        </w:rPr>
        <w:t xml:space="preserve">, </w:t>
      </w:r>
      <w:r w:rsidR="008362E5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="008362E5"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 w:rsidR="008362E5">
        <w:rPr>
          <w:rFonts w:ascii="Times New Roman" w:hAnsi="Times New Roman" w:cs="Times New Roman"/>
          <w:sz w:val="24"/>
          <w:szCs w:val="24"/>
        </w:rPr>
        <w:t xml:space="preserve"> Anz13.04, </w:t>
      </w:r>
      <w:r w:rsidR="008362E5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="008362E5"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 w:rsidR="008362E5">
        <w:rPr>
          <w:rFonts w:ascii="Times New Roman" w:hAnsi="Times New Roman" w:cs="Times New Roman"/>
          <w:sz w:val="24"/>
          <w:szCs w:val="24"/>
        </w:rPr>
        <w:t xml:space="preserve"> Cla12.04, and </w:t>
      </w:r>
      <w:r w:rsidR="008362E5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="008362E5">
        <w:rPr>
          <w:rFonts w:ascii="Times New Roman" w:hAnsi="Times New Roman" w:cs="Times New Roman"/>
          <w:i/>
          <w:iCs/>
          <w:sz w:val="24"/>
          <w:szCs w:val="24"/>
        </w:rPr>
        <w:t>heermannii</w:t>
      </w:r>
      <w:proofErr w:type="spellEnd"/>
      <w:r w:rsidR="008362E5">
        <w:rPr>
          <w:rFonts w:ascii="Times New Roman" w:hAnsi="Times New Roman" w:cs="Times New Roman"/>
          <w:sz w:val="24"/>
          <w:szCs w:val="24"/>
        </w:rPr>
        <w:t xml:space="preserve">) in response to inoculation with five soils (BMR, </w:t>
      </w:r>
      <w:proofErr w:type="spellStart"/>
      <w:r w:rsidR="008362E5">
        <w:rPr>
          <w:rFonts w:ascii="Times New Roman" w:hAnsi="Times New Roman" w:cs="Times New Roman"/>
          <w:sz w:val="24"/>
          <w:szCs w:val="24"/>
        </w:rPr>
        <w:t>Yuc</w:t>
      </w:r>
      <w:proofErr w:type="spellEnd"/>
      <w:r w:rsidR="008362E5">
        <w:rPr>
          <w:rFonts w:ascii="Times New Roman" w:hAnsi="Times New Roman" w:cs="Times New Roman"/>
          <w:sz w:val="24"/>
          <w:szCs w:val="24"/>
        </w:rPr>
        <w:t xml:space="preserve">, Gri, UCR, </w:t>
      </w:r>
      <w:proofErr w:type="spellStart"/>
      <w:r w:rsidR="008362E5">
        <w:rPr>
          <w:rFonts w:ascii="Times New Roman" w:hAnsi="Times New Roman" w:cs="Times New Roman"/>
          <w:sz w:val="24"/>
          <w:szCs w:val="24"/>
        </w:rPr>
        <w:t>Cla</w:t>
      </w:r>
      <w:proofErr w:type="spellEnd"/>
      <w:r w:rsidR="008362E5">
        <w:rPr>
          <w:rFonts w:ascii="Times New Roman" w:hAnsi="Times New Roman" w:cs="Times New Roman"/>
          <w:sz w:val="24"/>
          <w:szCs w:val="24"/>
        </w:rPr>
        <w:t>). Soils are arranged in order of increasing soil nitrogen (i.e., N</w:t>
      </w:r>
      <w:r w:rsidR="008362E5">
        <w:rPr>
          <w:rFonts w:ascii="Times New Roman" w:hAnsi="Times New Roman" w:cs="Times New Roman"/>
          <w:sz w:val="24"/>
          <w:szCs w:val="24"/>
          <w:vertAlign w:val="subscript"/>
        </w:rPr>
        <w:t>PC1</w:t>
      </w:r>
      <w:r w:rsidR="008362E5">
        <w:rPr>
          <w:rFonts w:ascii="Times New Roman" w:hAnsi="Times New Roman" w:cs="Times New Roman"/>
          <w:sz w:val="24"/>
          <w:szCs w:val="24"/>
        </w:rPr>
        <w:t xml:space="preserve"> values; see Fig. 1). Bars represent +/- 1 SE.</w:t>
      </w:r>
    </w:p>
    <w:p w14:paraId="523BE393" w14:textId="5A77AAE9" w:rsidR="008362E5" w:rsidRDefault="00081E39" w:rsidP="00AD6DA8">
      <w:pPr>
        <w:spacing w:line="276" w:lineRule="auto"/>
      </w:pPr>
      <w:r w:rsidRPr="00081E39">
        <w:rPr>
          <w:noProof/>
        </w:rPr>
        <w:lastRenderedPageBreak/>
        <w:drawing>
          <wp:inline distT="0" distB="0" distL="0" distR="0" wp14:anchorId="3BE4A25C" wp14:editId="4D35649C">
            <wp:extent cx="4390476" cy="3428571"/>
            <wp:effectExtent l="0" t="0" r="0" b="635"/>
            <wp:docPr id="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76DEED2-5F62-442E-A808-C78DB4901E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76DEED2-5F62-442E-A808-C78DB4901E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90476" cy="3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1524F" w14:textId="77777777" w:rsidR="00C0197F" w:rsidRDefault="008362E5" w:rsidP="008362E5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C019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641BF">
        <w:rPr>
          <w:rFonts w:ascii="Times New Roman" w:hAnsi="Times New Roman"/>
          <w:b/>
          <w:bCs/>
          <w:sz w:val="24"/>
          <w:szCs w:val="24"/>
        </w:rPr>
        <w:t>Figure S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F641BF">
        <w:rPr>
          <w:rFonts w:ascii="Times New Roman" w:hAnsi="Times New Roman"/>
          <w:b/>
          <w:bCs/>
          <w:sz w:val="24"/>
          <w:szCs w:val="24"/>
        </w:rPr>
        <w:t>.</w:t>
      </w:r>
      <w:r w:rsidRPr="00F641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Variation in red nodule frequency for four types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Acmispon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plant hosts (sympatric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Anz13.04,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Cla12.04, and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heermannii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in response to inoculation with five soils (BMR, </w:t>
      </w:r>
      <w:proofErr w:type="spellStart"/>
      <w:r>
        <w:rPr>
          <w:rFonts w:ascii="Times New Roman" w:hAnsi="Times New Roman" w:cs="Times New Roman"/>
          <w:sz w:val="24"/>
          <w:szCs w:val="24"/>
        </w:rPr>
        <w:t>Yuc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Gri, UCR, </w:t>
      </w:r>
      <w:proofErr w:type="spellStart"/>
      <w:r>
        <w:rPr>
          <w:rFonts w:ascii="Times New Roman" w:hAnsi="Times New Roman" w:cs="Times New Roman"/>
          <w:sz w:val="24"/>
          <w:szCs w:val="24"/>
        </w:rPr>
        <w:t>Cla</w:t>
      </w:r>
      <w:proofErr w:type="spellEnd"/>
      <w:r>
        <w:rPr>
          <w:rFonts w:ascii="Times New Roman" w:hAnsi="Times New Roman" w:cs="Times New Roman"/>
          <w:sz w:val="24"/>
          <w:szCs w:val="24"/>
        </w:rPr>
        <w:t>). Soils are arranged in order of increasing soil nitrogen (i.e.,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PC1</w:t>
      </w:r>
      <w:r>
        <w:rPr>
          <w:rFonts w:ascii="Times New Roman" w:hAnsi="Times New Roman" w:cs="Times New Roman"/>
          <w:sz w:val="24"/>
          <w:szCs w:val="24"/>
        </w:rPr>
        <w:t xml:space="preserve"> values; see Fig. 1). Bars represent +/- 1 SE.</w:t>
      </w:r>
    </w:p>
    <w:p w14:paraId="75FD026F" w14:textId="28346522" w:rsidR="008362E5" w:rsidRDefault="00081E39" w:rsidP="00AD6DA8">
      <w:pPr>
        <w:spacing w:line="276" w:lineRule="auto"/>
      </w:pPr>
      <w:r w:rsidRPr="00081E39">
        <w:rPr>
          <w:noProof/>
        </w:rPr>
        <w:lastRenderedPageBreak/>
        <w:drawing>
          <wp:inline distT="0" distB="0" distL="0" distR="0" wp14:anchorId="7D1890E8" wp14:editId="327C0008">
            <wp:extent cx="4390476" cy="3428571"/>
            <wp:effectExtent l="0" t="0" r="0" b="635"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414662E-B326-4E2E-AD74-A575F94AF7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414662E-B326-4E2E-AD74-A575F94AF7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0476" cy="3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6D626" w14:textId="77777777" w:rsidR="00C0197F" w:rsidRDefault="008362E5" w:rsidP="008362E5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C019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641BF">
        <w:rPr>
          <w:rFonts w:ascii="Times New Roman" w:hAnsi="Times New Roman"/>
          <w:b/>
          <w:bCs/>
          <w:sz w:val="24"/>
          <w:szCs w:val="24"/>
        </w:rPr>
        <w:t>Figure S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F641BF">
        <w:rPr>
          <w:rFonts w:ascii="Times New Roman" w:hAnsi="Times New Roman"/>
          <w:b/>
          <w:bCs/>
          <w:sz w:val="24"/>
          <w:szCs w:val="24"/>
        </w:rPr>
        <w:t>.</w:t>
      </w:r>
      <w:r w:rsidRPr="00F641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Variation in total nodule mass for four types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Acmispon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plant hosts (sympatric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Anz13.04,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Cla12.04, and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heermannii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in response to inoculation with five soils (BMR, </w:t>
      </w:r>
      <w:proofErr w:type="spellStart"/>
      <w:r>
        <w:rPr>
          <w:rFonts w:ascii="Times New Roman" w:hAnsi="Times New Roman" w:cs="Times New Roman"/>
          <w:sz w:val="24"/>
          <w:szCs w:val="24"/>
        </w:rPr>
        <w:t>Yuc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Gri, UCR, </w:t>
      </w:r>
      <w:proofErr w:type="spellStart"/>
      <w:r>
        <w:rPr>
          <w:rFonts w:ascii="Times New Roman" w:hAnsi="Times New Roman" w:cs="Times New Roman"/>
          <w:sz w:val="24"/>
          <w:szCs w:val="24"/>
        </w:rPr>
        <w:t>Cla</w:t>
      </w:r>
      <w:proofErr w:type="spellEnd"/>
      <w:r>
        <w:rPr>
          <w:rFonts w:ascii="Times New Roman" w:hAnsi="Times New Roman" w:cs="Times New Roman"/>
          <w:sz w:val="24"/>
          <w:szCs w:val="24"/>
        </w:rPr>
        <w:t>). Soils are arranged in order of increasing soil nitrogen (i.e.,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PC1</w:t>
      </w:r>
      <w:r>
        <w:rPr>
          <w:rFonts w:ascii="Times New Roman" w:hAnsi="Times New Roman" w:cs="Times New Roman"/>
          <w:sz w:val="24"/>
          <w:szCs w:val="24"/>
        </w:rPr>
        <w:t xml:space="preserve"> values; see Fig. 1). Bars represent +/- 1 SE.</w:t>
      </w:r>
    </w:p>
    <w:p w14:paraId="35B136FE" w14:textId="14E5A4A2" w:rsidR="008362E5" w:rsidRDefault="00081E39" w:rsidP="00AD6DA8">
      <w:pPr>
        <w:spacing w:line="276" w:lineRule="auto"/>
      </w:pPr>
      <w:r w:rsidRPr="00081E39">
        <w:rPr>
          <w:noProof/>
        </w:rPr>
        <w:lastRenderedPageBreak/>
        <w:drawing>
          <wp:inline distT="0" distB="0" distL="0" distR="0" wp14:anchorId="48E9897D" wp14:editId="424C688B">
            <wp:extent cx="4390476" cy="3428571"/>
            <wp:effectExtent l="0" t="0" r="0" b="635"/>
            <wp:docPr id="7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1DD20BB-CBAF-4F55-98BD-0C56BBD7F1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1DD20BB-CBAF-4F55-98BD-0C56BBD7F1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90476" cy="3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23FF2" w14:textId="6948B0CB" w:rsidR="008362E5" w:rsidRDefault="008362E5" w:rsidP="008362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41BF">
        <w:rPr>
          <w:rFonts w:ascii="Times New Roman" w:hAnsi="Times New Roman"/>
          <w:b/>
          <w:bCs/>
          <w:sz w:val="24"/>
          <w:szCs w:val="24"/>
        </w:rPr>
        <w:t>Figure S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F641BF">
        <w:rPr>
          <w:rFonts w:ascii="Times New Roman" w:hAnsi="Times New Roman"/>
          <w:b/>
          <w:bCs/>
          <w:sz w:val="24"/>
          <w:szCs w:val="24"/>
        </w:rPr>
        <w:t>.</w:t>
      </w:r>
      <w:r w:rsidRPr="00F641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Variation in mean nodule size for four types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Acmispon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plant hosts (sympatric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Anz13.04,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Cla12.04, and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heermannii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in response to inoculation with five soils (BMR, </w:t>
      </w:r>
      <w:proofErr w:type="spellStart"/>
      <w:r>
        <w:rPr>
          <w:rFonts w:ascii="Times New Roman" w:hAnsi="Times New Roman" w:cs="Times New Roman"/>
          <w:sz w:val="24"/>
          <w:szCs w:val="24"/>
        </w:rPr>
        <w:t>Yuc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Gri, UCR, </w:t>
      </w:r>
      <w:proofErr w:type="spellStart"/>
      <w:r>
        <w:rPr>
          <w:rFonts w:ascii="Times New Roman" w:hAnsi="Times New Roman" w:cs="Times New Roman"/>
          <w:sz w:val="24"/>
          <w:szCs w:val="24"/>
        </w:rPr>
        <w:t>Cla</w:t>
      </w:r>
      <w:proofErr w:type="spellEnd"/>
      <w:r>
        <w:rPr>
          <w:rFonts w:ascii="Times New Roman" w:hAnsi="Times New Roman" w:cs="Times New Roman"/>
          <w:sz w:val="24"/>
          <w:szCs w:val="24"/>
        </w:rPr>
        <w:t>). Soils are arranged in order of increasing soil nitrogen (i.e.,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PC1</w:t>
      </w:r>
      <w:r>
        <w:rPr>
          <w:rFonts w:ascii="Times New Roman" w:hAnsi="Times New Roman" w:cs="Times New Roman"/>
          <w:sz w:val="24"/>
          <w:szCs w:val="24"/>
        </w:rPr>
        <w:t xml:space="preserve"> values; see Fig. 1). Bars represent +/- 1 SE.</w:t>
      </w:r>
    </w:p>
    <w:p w14:paraId="6E0F421A" w14:textId="19142A8E" w:rsidR="008362E5" w:rsidRDefault="008362E5" w:rsidP="00AD6DA8">
      <w:pPr>
        <w:spacing w:line="276" w:lineRule="auto"/>
        <w:sectPr w:rsidR="008362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4FDBA1" w14:textId="4C889569" w:rsidR="00720624" w:rsidRPr="00720624" w:rsidRDefault="00720624" w:rsidP="00720624">
      <w:pPr>
        <w:spacing w:line="276" w:lineRule="auto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Table S</w:t>
      </w:r>
      <w:r w:rsidR="0046573E">
        <w:rPr>
          <w:rFonts w:ascii="Times New Roman" w:hAnsi="Times New Roman"/>
          <w:b/>
          <w:bCs/>
          <w:sz w:val="24"/>
          <w:szCs w:val="24"/>
        </w:rPr>
        <w:t>1</w:t>
      </w:r>
      <w:r w:rsidRPr="00276C0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412">
        <w:rPr>
          <w:rFonts w:ascii="Times New Roman" w:hAnsi="Times New Roman"/>
          <w:sz w:val="24"/>
          <w:szCs w:val="24"/>
        </w:rPr>
        <w:t xml:space="preserve">Soil collection information and </w:t>
      </w:r>
      <w:proofErr w:type="spellStart"/>
      <w:r w:rsidRPr="002D2412">
        <w:rPr>
          <w:rFonts w:ascii="Times New Roman" w:hAnsi="Times New Roman"/>
          <w:i/>
          <w:iCs/>
          <w:sz w:val="24"/>
          <w:szCs w:val="24"/>
        </w:rPr>
        <w:t>A</w:t>
      </w:r>
      <w:r w:rsidR="00A02834">
        <w:rPr>
          <w:rFonts w:ascii="Times New Roman" w:hAnsi="Times New Roman"/>
          <w:i/>
          <w:iCs/>
          <w:sz w:val="24"/>
          <w:szCs w:val="24"/>
        </w:rPr>
        <w:t>cmispon</w:t>
      </w:r>
      <w:proofErr w:type="spellEnd"/>
      <w:r w:rsidRPr="002D241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D2412">
        <w:rPr>
          <w:rFonts w:ascii="Times New Roman" w:hAnsi="Times New Roman"/>
          <w:i/>
          <w:iCs/>
          <w:sz w:val="24"/>
          <w:szCs w:val="24"/>
        </w:rPr>
        <w:t>strigosus</w:t>
      </w:r>
      <w:proofErr w:type="spellEnd"/>
      <w:r w:rsidRPr="002D2412">
        <w:rPr>
          <w:rFonts w:ascii="Times New Roman" w:hAnsi="Times New Roman"/>
          <w:sz w:val="24"/>
          <w:szCs w:val="24"/>
        </w:rPr>
        <w:t xml:space="preserve"> plant lines used in this study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2690" w:type="dxa"/>
        <w:tblLook w:val="04A0" w:firstRow="1" w:lastRow="0" w:firstColumn="1" w:lastColumn="0" w:noHBand="0" w:noVBand="1"/>
      </w:tblPr>
      <w:tblGrid>
        <w:gridCol w:w="1170"/>
        <w:gridCol w:w="1710"/>
        <w:gridCol w:w="1800"/>
        <w:gridCol w:w="1890"/>
        <w:gridCol w:w="3240"/>
        <w:gridCol w:w="1440"/>
        <w:gridCol w:w="1440"/>
      </w:tblGrid>
      <w:tr w:rsidR="00720624" w:rsidRPr="00276C07" w14:paraId="3479D87B" w14:textId="77777777" w:rsidTr="00720624">
        <w:trPr>
          <w:trHeight w:val="681"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95207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Field site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CCCA1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Soil collection date, time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32086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Soil collection coordinates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35499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Plant </w:t>
            </w:r>
            <w:proofErr w:type="gramStart"/>
            <w:r w:rsidRPr="002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lines,   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experimental names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159F6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Plant </w:t>
            </w:r>
            <w:proofErr w:type="gramStart"/>
            <w:r w:rsidRPr="002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lines,   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formal names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4FDD1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7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nrITS</w:t>
            </w:r>
            <w:proofErr w:type="spellEnd"/>
            <w:r w:rsidRPr="002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Genbank</w:t>
            </w:r>
            <w:proofErr w:type="spellEnd"/>
            <w:r w:rsidRPr="002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accession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A37C1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CNGC5</w:t>
            </w:r>
            <w:r w:rsidRPr="002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Genbank</w:t>
            </w:r>
            <w:proofErr w:type="spellEnd"/>
            <w:r w:rsidRPr="00276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accession</w:t>
            </w:r>
          </w:p>
        </w:tc>
      </w:tr>
      <w:tr w:rsidR="00720624" w:rsidRPr="00276C07" w14:paraId="25EEBB4A" w14:textId="77777777" w:rsidTr="00C0197F">
        <w:trPr>
          <w:trHeight w:val="413"/>
        </w:trPr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172B9B4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BMR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4B121E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Mar </w:t>
            </w: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2015,   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0830 h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03000A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 38.3193,          W 123.06368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2BC5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BMR01.03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D785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AcS074.BMR.u</w:t>
            </w: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01.g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2.r01_03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4DE65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MH201354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4BF60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MH223487</w:t>
            </w:r>
          </w:p>
        </w:tc>
      </w:tr>
      <w:tr w:rsidR="00720624" w:rsidRPr="00276C07" w14:paraId="58554464" w14:textId="77777777" w:rsidTr="00720624">
        <w:trPr>
          <w:trHeight w:val="324"/>
        </w:trPr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93D18F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DB4653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259CCA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CEBE5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BMR07.03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26311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AcS004.BMR.u</w:t>
            </w: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01.g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2.r01_03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F69D3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KX449155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BBE03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KX449166</w:t>
            </w:r>
          </w:p>
        </w:tc>
      </w:tr>
      <w:tr w:rsidR="00720624" w:rsidRPr="00276C07" w14:paraId="2A049754" w14:textId="77777777" w:rsidTr="00720624">
        <w:trPr>
          <w:trHeight w:val="324"/>
        </w:trPr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2D9F39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UCR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4220F4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Mar </w:t>
            </w: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2015,   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1630 h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F702EA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 33.96591,           W 117.32271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8F6B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UCR02.07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CF7E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AcS027.UCR.u</w:t>
            </w: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01.g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1.r10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5E387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MH201360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661D9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MH223492</w:t>
            </w:r>
          </w:p>
        </w:tc>
      </w:tr>
      <w:tr w:rsidR="00720624" w:rsidRPr="00276C07" w14:paraId="2C09BB53" w14:textId="77777777" w:rsidTr="00720624">
        <w:trPr>
          <w:trHeight w:val="324"/>
        </w:trPr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2E2EA9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C0C543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5C7A33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CEB8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UCR09.05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F3AAB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AcS131.UCR.u</w:t>
            </w: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01.g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1.r05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A7316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MH201361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D8FA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MH223493</w:t>
            </w:r>
          </w:p>
        </w:tc>
      </w:tr>
      <w:tr w:rsidR="00720624" w:rsidRPr="00276C07" w14:paraId="37EB756F" w14:textId="77777777" w:rsidTr="00720624">
        <w:trPr>
          <w:trHeight w:val="324"/>
        </w:trPr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642417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C93E06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Mar </w:t>
            </w: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2015,   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0930 h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5D6ACF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 34.110555,             W 117.708798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6024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Cla10.01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0FDB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AcS047.Cla.m01.g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2.r07_01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D290A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KX449157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C2E5D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KX449168</w:t>
            </w:r>
          </w:p>
        </w:tc>
      </w:tr>
      <w:tr w:rsidR="00720624" w:rsidRPr="00276C07" w14:paraId="1A1DD36B" w14:textId="77777777" w:rsidTr="00720624">
        <w:trPr>
          <w:trHeight w:val="324"/>
        </w:trPr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050062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ECA05E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D11E26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7624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Cla01.04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10DA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AcS049.Cla.m01.g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1.r04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E69DD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MH201356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02811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MH223488</w:t>
            </w:r>
          </w:p>
        </w:tc>
      </w:tr>
      <w:tr w:rsidR="00720624" w:rsidRPr="00276C07" w14:paraId="7C8B7478" w14:textId="77777777" w:rsidTr="00720624">
        <w:trPr>
          <w:trHeight w:val="324"/>
        </w:trPr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446F0A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648AD5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2EC9B3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C93F8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Cla12.04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576EB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AcS047.Cla.m01.g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2.r09_04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00FE1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MH201358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E03FA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MH223489</w:t>
            </w:r>
          </w:p>
        </w:tc>
      </w:tr>
      <w:tr w:rsidR="00720624" w:rsidRPr="00276C07" w14:paraId="2310CD4B" w14:textId="77777777" w:rsidTr="00720624">
        <w:trPr>
          <w:trHeight w:val="324"/>
        </w:trPr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0019F5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Anz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F070F1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Feb </w:t>
            </w: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2015,   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1130 h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29BC72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 33.2713,            W 116.4194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34A8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Anz11.01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09AA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AcS040.Anz.m01.g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2.r06_01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3A987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KX449153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B9A06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KX449164</w:t>
            </w:r>
          </w:p>
        </w:tc>
      </w:tr>
      <w:tr w:rsidR="00720624" w:rsidRPr="00276C07" w14:paraId="3492AFFB" w14:textId="77777777" w:rsidTr="00720624">
        <w:trPr>
          <w:trHeight w:val="324"/>
        </w:trPr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A08C6A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379400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35A781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E219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Anz10.01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9194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AcS039.Anz.m01.g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2.r03_01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B2F5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MH201351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832D3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MH223485</w:t>
            </w:r>
          </w:p>
        </w:tc>
      </w:tr>
      <w:tr w:rsidR="00720624" w:rsidRPr="00276C07" w14:paraId="32CCE851" w14:textId="77777777" w:rsidTr="00720624">
        <w:trPr>
          <w:trHeight w:val="324"/>
        </w:trPr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75F63D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747BFF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C5A69B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527EE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Anz13.04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9A1F6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AcS038.Anz.m01.g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1.r11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75CAB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MH201353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AE12B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MH223486</w:t>
            </w:r>
          </w:p>
        </w:tc>
      </w:tr>
      <w:tr w:rsidR="00720624" w:rsidRPr="00276C07" w14:paraId="4E122FC6" w14:textId="77777777" w:rsidTr="00720624">
        <w:trPr>
          <w:trHeight w:val="324"/>
        </w:trPr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F94004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19DC6D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Mar </w:t>
            </w: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2015,   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1100 h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2A2EEA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 34.12197,         W 118.309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C7BC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Gri01.01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5388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AcS075.Gri.u01.g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1.r01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6793F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MH220053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654DA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MH223490</w:t>
            </w:r>
          </w:p>
        </w:tc>
      </w:tr>
      <w:tr w:rsidR="00720624" w:rsidRPr="00276C07" w14:paraId="1C058A74" w14:textId="77777777" w:rsidTr="00720624">
        <w:trPr>
          <w:trHeight w:val="324"/>
        </w:trPr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BF8D15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94236B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1F699A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33FD0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Gri01.13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40CF8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AcS075.Gri.u01.g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1.r13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24A0D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MH220054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FCB42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MH223491</w:t>
            </w:r>
          </w:p>
        </w:tc>
      </w:tr>
      <w:tr w:rsidR="00720624" w:rsidRPr="00276C07" w14:paraId="41C4A9CF" w14:textId="77777777" w:rsidTr="00720624">
        <w:trPr>
          <w:trHeight w:val="324"/>
        </w:trPr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9D5810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Yuc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482212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Feb </w:t>
            </w: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2015,   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1500 h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4FF896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 34.15315,        W 116.47511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69A3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Yuc02.07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4F35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AcS052.Yuc.m01.g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2.r01_07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8788D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KX449161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579F7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KX449172</w:t>
            </w:r>
          </w:p>
        </w:tc>
      </w:tr>
      <w:tr w:rsidR="00720624" w:rsidRPr="00276C07" w14:paraId="79D81039" w14:textId="77777777" w:rsidTr="00720624">
        <w:trPr>
          <w:trHeight w:val="324"/>
        </w:trPr>
        <w:tc>
          <w:tcPr>
            <w:tcW w:w="11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B34311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20A6FC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B2FA26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4D29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Yuc02.01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3F111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AcS052.Yuc.m01.g</w:t>
            </w:r>
            <w:proofErr w:type="gramEnd"/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2.r01_01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3E47B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KX449161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10B37" w14:textId="77777777" w:rsidR="00720624" w:rsidRPr="00276C07" w:rsidRDefault="00720624" w:rsidP="00E1456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KX449172</w:t>
            </w:r>
          </w:p>
        </w:tc>
      </w:tr>
    </w:tbl>
    <w:p w14:paraId="01CC10A1" w14:textId="77777777" w:rsidR="00742BB5" w:rsidRDefault="00742BB5" w:rsidP="00AD6DA8">
      <w:pPr>
        <w:spacing w:line="276" w:lineRule="auto"/>
        <w:sectPr w:rsidR="00742BB5" w:rsidSect="00A0283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D9F9F9E" w14:textId="780C6B66" w:rsidR="00742BB5" w:rsidRPr="009E255B" w:rsidRDefault="00742BB5" w:rsidP="00C019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S2: </w:t>
      </w:r>
      <w:r>
        <w:rPr>
          <w:rFonts w:ascii="Times New Roman" w:hAnsi="Times New Roman" w:cs="Times New Roman"/>
          <w:sz w:val="24"/>
          <w:szCs w:val="24"/>
        </w:rPr>
        <w:t>Likelihood ratio test 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statistics for fixed effects in GLMMs modeling traits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Acmispon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inoculated with sympatric soils in the Sympatric Host Experiment. P = PC2 for non-nitrogen soil traits. I = inoculum type (live vs. sterilized). For </w:t>
      </w:r>
      <w:proofErr w:type="gramStart"/>
      <w:r>
        <w:rPr>
          <w:rFonts w:ascii="Times New Roman" w:hAnsi="Times New Roman" w:cs="Times New Roman"/>
          <w:sz w:val="24"/>
          <w:szCs w:val="24"/>
        </w:rPr>
        <w:t>log(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Total plant mass)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Root:shoot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ratio, n = 187 plants. For other responses, n = 93-94 plants. </w:t>
      </w:r>
      <w:r w:rsidRPr="00542FF4">
        <w:rPr>
          <w:rFonts w:ascii="Times New Roman" w:hAnsi="Times New Roman" w:cs="Times New Roman"/>
          <w:sz w:val="24"/>
          <w:szCs w:val="24"/>
        </w:rPr>
        <w:t xml:space="preserve">* </w:t>
      </w:r>
      <w:r w:rsidRPr="00E053C3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FF4">
        <w:rPr>
          <w:rFonts w:ascii="Times New Roman" w:hAnsi="Times New Roman" w:cs="Times New Roman"/>
          <w:sz w:val="24"/>
          <w:szCs w:val="24"/>
        </w:rPr>
        <w:t xml:space="preserve">&lt; 0.05, ** </w:t>
      </w:r>
      <w:r w:rsidRPr="00E053C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2FF4">
        <w:rPr>
          <w:rFonts w:ascii="Times New Roman" w:hAnsi="Times New Roman" w:cs="Times New Roman"/>
          <w:sz w:val="24"/>
          <w:szCs w:val="24"/>
        </w:rPr>
        <w:t xml:space="preserve"> &lt; 0.001, *** </w:t>
      </w:r>
      <w:r w:rsidRPr="00E053C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2FF4">
        <w:rPr>
          <w:rFonts w:ascii="Times New Roman" w:hAnsi="Times New Roman" w:cs="Times New Roman"/>
          <w:sz w:val="24"/>
          <w:szCs w:val="24"/>
        </w:rPr>
        <w:t xml:space="preserve"> &lt; 0.0001, † </w:t>
      </w:r>
      <w:r w:rsidRPr="00E053C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2FF4">
        <w:rPr>
          <w:rFonts w:ascii="Times New Roman" w:hAnsi="Times New Roman" w:cs="Times New Roman"/>
          <w:sz w:val="24"/>
          <w:szCs w:val="24"/>
        </w:rPr>
        <w:t xml:space="preserve"> &lt; 0.1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840"/>
        <w:gridCol w:w="1575"/>
        <w:gridCol w:w="1440"/>
        <w:gridCol w:w="1435"/>
      </w:tblGrid>
      <w:tr w:rsidR="00742BB5" w14:paraId="6D2D9BF6" w14:textId="77777777" w:rsidTr="002F6B75">
        <w:tc>
          <w:tcPr>
            <w:tcW w:w="3285" w:type="dxa"/>
            <w:gridSpan w:val="2"/>
            <w:vMerge w:val="restart"/>
            <w:tcBorders>
              <w:bottom w:val="single" w:sz="4" w:space="0" w:color="auto"/>
            </w:tcBorders>
          </w:tcPr>
          <w:p w14:paraId="6FBB71B9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Response</w:t>
            </w:r>
          </w:p>
        </w:tc>
        <w:tc>
          <w:tcPr>
            <w:tcW w:w="4450" w:type="dxa"/>
            <w:gridSpan w:val="3"/>
            <w:tcBorders>
              <w:bottom w:val="single" w:sz="4" w:space="0" w:color="auto"/>
            </w:tcBorders>
          </w:tcPr>
          <w:p w14:paraId="0506B3D5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terms</w:t>
            </w:r>
          </w:p>
        </w:tc>
      </w:tr>
      <w:tr w:rsidR="00742BB5" w14:paraId="3D5B6CC2" w14:textId="77777777" w:rsidTr="002F6B75">
        <w:tc>
          <w:tcPr>
            <w:tcW w:w="3285" w:type="dxa"/>
            <w:gridSpan w:val="2"/>
            <w:vMerge/>
            <w:tcBorders>
              <w:bottom w:val="single" w:sz="4" w:space="0" w:color="auto"/>
            </w:tcBorders>
          </w:tcPr>
          <w:p w14:paraId="09C5254E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14:paraId="6B34DB67" w14:textId="77777777" w:rsidR="00742BB5" w:rsidRDefault="00742BB5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65D1F5DA" w14:textId="77777777" w:rsidR="00742BB5" w:rsidRPr="00A16D5B" w:rsidRDefault="00742BB5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 = 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2D19AB7" w14:textId="77777777" w:rsidR="00742BB5" w:rsidRDefault="00742BB5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E29353E" w14:textId="77777777" w:rsidR="00742BB5" w:rsidRPr="00A16D5B" w:rsidRDefault="00742BB5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 = 1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0DEC98C4" w14:textId="77777777" w:rsidR="00742BB5" w:rsidRDefault="00742BB5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D5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16D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48AD59D0" w14:textId="77777777" w:rsidR="00742BB5" w:rsidRPr="00A16D5B" w:rsidRDefault="00742BB5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 = 1</w:t>
            </w:r>
          </w:p>
        </w:tc>
      </w:tr>
      <w:tr w:rsidR="00742BB5" w14:paraId="00C20618" w14:textId="77777777" w:rsidTr="002F6B75">
        <w:tc>
          <w:tcPr>
            <w:tcW w:w="3285" w:type="dxa"/>
            <w:gridSpan w:val="2"/>
            <w:tcBorders>
              <w:top w:val="single" w:sz="4" w:space="0" w:color="auto"/>
            </w:tcBorders>
          </w:tcPr>
          <w:p w14:paraId="77683367" w14:textId="51D958FC" w:rsidR="00742BB5" w:rsidRPr="00C53EF6" w:rsidRDefault="00742BB5" w:rsidP="002F6B7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3E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onN</w:t>
            </w:r>
            <w:r w:rsidR="00D979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itrogen</w:t>
            </w:r>
            <w:r w:rsidRPr="00D97966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PC2</w:t>
            </w:r>
            <w:r w:rsidRPr="00C53E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models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7388E9F4" w14:textId="77777777" w:rsidR="00742BB5" w:rsidRPr="00D97966" w:rsidRDefault="00742BB5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6843970" w14:textId="77777777" w:rsidR="00742BB5" w:rsidRPr="00D97966" w:rsidRDefault="00742BB5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799C6B01" w14:textId="77777777" w:rsidR="00742BB5" w:rsidRPr="00D97966" w:rsidRDefault="00742BB5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BB5" w14:paraId="7C3ED17C" w14:textId="77777777" w:rsidTr="002F6B75">
        <w:tc>
          <w:tcPr>
            <w:tcW w:w="445" w:type="dxa"/>
          </w:tcPr>
          <w:p w14:paraId="2E707C98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2C689DB3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16D5B">
              <w:rPr>
                <w:rFonts w:ascii="Times New Roman" w:hAnsi="Times New Roman" w:cs="Times New Roman"/>
                <w:sz w:val="24"/>
                <w:szCs w:val="24"/>
              </w:rPr>
              <w:t>og(</w:t>
            </w:r>
            <w:proofErr w:type="gramEnd"/>
            <w:r w:rsidRPr="00A16D5B">
              <w:rPr>
                <w:rFonts w:ascii="Times New Roman" w:hAnsi="Times New Roman" w:cs="Times New Roman"/>
                <w:sz w:val="24"/>
                <w:szCs w:val="24"/>
              </w:rPr>
              <w:t>Total plant mass)</w:t>
            </w:r>
          </w:p>
        </w:tc>
        <w:tc>
          <w:tcPr>
            <w:tcW w:w="1575" w:type="dxa"/>
            <w:shd w:val="clear" w:color="auto" w:fill="auto"/>
          </w:tcPr>
          <w:p w14:paraId="4476B022" w14:textId="5C563E2F" w:rsidR="00742BB5" w:rsidRPr="00D97966" w:rsidRDefault="007D375F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B1372F" w:rsidRPr="00D979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184FF137" w14:textId="376D63DC" w:rsidR="00742BB5" w:rsidRPr="00D97966" w:rsidRDefault="00B1372F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248.09***</w:t>
            </w:r>
          </w:p>
        </w:tc>
        <w:tc>
          <w:tcPr>
            <w:tcW w:w="1435" w:type="dxa"/>
            <w:shd w:val="clear" w:color="auto" w:fill="auto"/>
          </w:tcPr>
          <w:p w14:paraId="4DE59981" w14:textId="019BDA5B" w:rsidR="00742BB5" w:rsidRPr="00D97966" w:rsidRDefault="00DE7FA8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5.56*</w:t>
            </w:r>
          </w:p>
        </w:tc>
      </w:tr>
      <w:tr w:rsidR="00742BB5" w14:paraId="6DA62FFB" w14:textId="77777777" w:rsidTr="002F6B75">
        <w:tc>
          <w:tcPr>
            <w:tcW w:w="445" w:type="dxa"/>
          </w:tcPr>
          <w:p w14:paraId="10F78A45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0380353D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5B">
              <w:rPr>
                <w:rFonts w:ascii="Times New Roman" w:hAnsi="Times New Roman" w:cs="Times New Roman"/>
                <w:sz w:val="24"/>
                <w:szCs w:val="24"/>
              </w:rPr>
              <w:t>Root:shoot</w:t>
            </w:r>
            <w:proofErr w:type="spellEnd"/>
            <w:r w:rsidRPr="00A16D5B">
              <w:rPr>
                <w:rFonts w:ascii="Times New Roman" w:hAnsi="Times New Roman" w:cs="Times New Roman"/>
                <w:sz w:val="24"/>
                <w:szCs w:val="24"/>
              </w:rPr>
              <w:t xml:space="preserve"> ratio</w:t>
            </w:r>
          </w:p>
        </w:tc>
        <w:tc>
          <w:tcPr>
            <w:tcW w:w="1575" w:type="dxa"/>
            <w:shd w:val="clear" w:color="auto" w:fill="auto"/>
          </w:tcPr>
          <w:p w14:paraId="6887132A" w14:textId="739C440B" w:rsidR="00742BB5" w:rsidRPr="00D97966" w:rsidRDefault="00FA2152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440" w:type="dxa"/>
            <w:shd w:val="clear" w:color="auto" w:fill="auto"/>
          </w:tcPr>
          <w:p w14:paraId="20F72054" w14:textId="6B871D1B" w:rsidR="00742BB5" w:rsidRPr="00D97966" w:rsidRDefault="00FA2152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187.33***</w:t>
            </w:r>
          </w:p>
        </w:tc>
        <w:tc>
          <w:tcPr>
            <w:tcW w:w="1435" w:type="dxa"/>
            <w:shd w:val="clear" w:color="auto" w:fill="auto"/>
          </w:tcPr>
          <w:p w14:paraId="43A009D6" w14:textId="1CE61D52" w:rsidR="00742BB5" w:rsidRPr="00D97966" w:rsidRDefault="00FA2152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</w:tr>
      <w:tr w:rsidR="00742BB5" w14:paraId="168B844D" w14:textId="77777777" w:rsidTr="002F6B75">
        <w:tc>
          <w:tcPr>
            <w:tcW w:w="445" w:type="dxa"/>
          </w:tcPr>
          <w:p w14:paraId="1B8B96D7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552663E3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B">
              <w:rPr>
                <w:rFonts w:ascii="Times New Roman" w:hAnsi="Times New Roman" w:cs="Times New Roman"/>
                <w:sz w:val="24"/>
                <w:szCs w:val="24"/>
              </w:rPr>
              <w:t>Plant relative growth</w:t>
            </w:r>
          </w:p>
        </w:tc>
        <w:tc>
          <w:tcPr>
            <w:tcW w:w="1575" w:type="dxa"/>
            <w:shd w:val="clear" w:color="auto" w:fill="auto"/>
          </w:tcPr>
          <w:p w14:paraId="3CD2D4A1" w14:textId="504BD725" w:rsidR="00742BB5" w:rsidRPr="00D97966" w:rsidRDefault="00512F11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1440" w:type="dxa"/>
            <w:shd w:val="clear" w:color="auto" w:fill="auto"/>
          </w:tcPr>
          <w:p w14:paraId="7F34042B" w14:textId="77777777" w:rsidR="00742BB5" w:rsidRPr="00D97966" w:rsidRDefault="00742BB5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0990E41B" w14:textId="77777777" w:rsidR="00742BB5" w:rsidRPr="00D97966" w:rsidRDefault="00742BB5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42BB5" w14:paraId="37EBE4C1" w14:textId="77777777" w:rsidTr="002F6B75">
        <w:tc>
          <w:tcPr>
            <w:tcW w:w="445" w:type="dxa"/>
          </w:tcPr>
          <w:p w14:paraId="015F4310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E9C5C0F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B">
              <w:rPr>
                <w:rFonts w:ascii="Times New Roman" w:hAnsi="Times New Roman" w:cs="Times New Roman"/>
                <w:sz w:val="24"/>
                <w:szCs w:val="24"/>
              </w:rPr>
              <w:t>Red nodule frequency</w:t>
            </w:r>
          </w:p>
        </w:tc>
        <w:tc>
          <w:tcPr>
            <w:tcW w:w="1575" w:type="dxa"/>
            <w:shd w:val="clear" w:color="auto" w:fill="auto"/>
          </w:tcPr>
          <w:p w14:paraId="0F847B7A" w14:textId="727B0D94" w:rsidR="00742BB5" w:rsidRPr="00D97966" w:rsidRDefault="004A5DF9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5.96*</w:t>
            </w:r>
          </w:p>
        </w:tc>
        <w:tc>
          <w:tcPr>
            <w:tcW w:w="1440" w:type="dxa"/>
            <w:shd w:val="clear" w:color="auto" w:fill="auto"/>
          </w:tcPr>
          <w:p w14:paraId="6881B5F5" w14:textId="77777777" w:rsidR="00742BB5" w:rsidRPr="00D97966" w:rsidRDefault="00742BB5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532E7283" w14:textId="77777777" w:rsidR="00742BB5" w:rsidRPr="00D97966" w:rsidRDefault="00742BB5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42BB5" w14:paraId="52B10E99" w14:textId="77777777" w:rsidTr="002F6B75">
        <w:tc>
          <w:tcPr>
            <w:tcW w:w="445" w:type="dxa"/>
          </w:tcPr>
          <w:p w14:paraId="6FB39FCB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59062D39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B">
              <w:rPr>
                <w:rFonts w:ascii="Times New Roman" w:hAnsi="Times New Roman" w:cs="Times New Roman"/>
                <w:sz w:val="24"/>
                <w:szCs w:val="24"/>
              </w:rPr>
              <w:t>Total nodule mass</w:t>
            </w:r>
          </w:p>
        </w:tc>
        <w:tc>
          <w:tcPr>
            <w:tcW w:w="1575" w:type="dxa"/>
            <w:shd w:val="clear" w:color="auto" w:fill="auto"/>
          </w:tcPr>
          <w:p w14:paraId="5D01D4EC" w14:textId="1A2F1771" w:rsidR="00742BB5" w:rsidRPr="00D97966" w:rsidRDefault="001E1684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3.25†</w:t>
            </w:r>
          </w:p>
        </w:tc>
        <w:tc>
          <w:tcPr>
            <w:tcW w:w="1440" w:type="dxa"/>
            <w:shd w:val="clear" w:color="auto" w:fill="auto"/>
          </w:tcPr>
          <w:p w14:paraId="2A524D2F" w14:textId="77777777" w:rsidR="00742BB5" w:rsidRPr="00D97966" w:rsidRDefault="00742BB5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3267C9AF" w14:textId="77777777" w:rsidR="00742BB5" w:rsidRPr="00D97966" w:rsidRDefault="00742BB5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42BB5" w14:paraId="5500D6C5" w14:textId="77777777" w:rsidTr="00D97966">
        <w:tc>
          <w:tcPr>
            <w:tcW w:w="445" w:type="dxa"/>
          </w:tcPr>
          <w:p w14:paraId="6D89DD1E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5CF4CA6C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B">
              <w:rPr>
                <w:rFonts w:ascii="Times New Roman" w:hAnsi="Times New Roman" w:cs="Times New Roman"/>
                <w:sz w:val="24"/>
                <w:szCs w:val="24"/>
              </w:rPr>
              <w:t>Total nodule count</w:t>
            </w:r>
          </w:p>
        </w:tc>
        <w:tc>
          <w:tcPr>
            <w:tcW w:w="1575" w:type="dxa"/>
            <w:shd w:val="clear" w:color="auto" w:fill="auto"/>
          </w:tcPr>
          <w:p w14:paraId="36067B42" w14:textId="1615D80F" w:rsidR="00742BB5" w:rsidRPr="00D97966" w:rsidRDefault="00263BD4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7.85*</w:t>
            </w:r>
          </w:p>
        </w:tc>
        <w:tc>
          <w:tcPr>
            <w:tcW w:w="1440" w:type="dxa"/>
            <w:shd w:val="clear" w:color="auto" w:fill="auto"/>
          </w:tcPr>
          <w:p w14:paraId="31B36DA4" w14:textId="77777777" w:rsidR="00742BB5" w:rsidRPr="00D97966" w:rsidRDefault="00742BB5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4B81FE2D" w14:textId="77777777" w:rsidR="00742BB5" w:rsidRPr="00D97966" w:rsidRDefault="00742BB5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42BB5" w14:paraId="43596BA4" w14:textId="77777777" w:rsidTr="00D97966">
        <w:tc>
          <w:tcPr>
            <w:tcW w:w="445" w:type="dxa"/>
          </w:tcPr>
          <w:p w14:paraId="1C3C15EA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8217D63" w14:textId="77777777" w:rsidR="00742BB5" w:rsidRPr="00A16D5B" w:rsidRDefault="00742BB5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5B">
              <w:rPr>
                <w:rFonts w:ascii="Times New Roman" w:hAnsi="Times New Roman" w:cs="Times New Roman"/>
                <w:sz w:val="24"/>
                <w:szCs w:val="24"/>
              </w:rPr>
              <w:t>Mean nodule size</w:t>
            </w:r>
          </w:p>
        </w:tc>
        <w:tc>
          <w:tcPr>
            <w:tcW w:w="1575" w:type="dxa"/>
            <w:shd w:val="clear" w:color="auto" w:fill="auto"/>
          </w:tcPr>
          <w:p w14:paraId="47D40E77" w14:textId="6F192383" w:rsidR="00742BB5" w:rsidRPr="00D97966" w:rsidRDefault="001E1CF4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440" w:type="dxa"/>
            <w:shd w:val="clear" w:color="auto" w:fill="auto"/>
          </w:tcPr>
          <w:p w14:paraId="2D3BBA5B" w14:textId="77777777" w:rsidR="00742BB5" w:rsidRPr="00D97966" w:rsidRDefault="00742BB5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676907B4" w14:textId="77777777" w:rsidR="00742BB5" w:rsidRPr="00D97966" w:rsidRDefault="00742BB5" w:rsidP="007D375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49653AD7" w14:textId="08E880D5" w:rsidR="00742BB5" w:rsidRDefault="00742BB5" w:rsidP="00AD6DA8">
      <w:pPr>
        <w:spacing w:line="276" w:lineRule="auto"/>
      </w:pPr>
    </w:p>
    <w:p w14:paraId="5AA32273" w14:textId="7CCDA184" w:rsidR="00547B4A" w:rsidRDefault="00547B4A" w:rsidP="00AD6DA8">
      <w:pPr>
        <w:spacing w:line="276" w:lineRule="auto"/>
      </w:pPr>
    </w:p>
    <w:p w14:paraId="59C006B4" w14:textId="77777777" w:rsidR="00FC1331" w:rsidRDefault="00FC1331" w:rsidP="00FC13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F03396" w14:textId="6A51A8A7" w:rsidR="00FC1331" w:rsidRPr="00FC1331" w:rsidRDefault="00FC1331" w:rsidP="00FC1331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FC1331" w:rsidRPr="00FC1331" w:rsidSect="00742BB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E994BC" w14:textId="4F73221B" w:rsidR="00547B4A" w:rsidRPr="009E255B" w:rsidRDefault="00547B4A" w:rsidP="00C0197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784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S3</w:t>
      </w:r>
      <w:r w:rsidRPr="00D2784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Likelihood ratio test 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statistics for fixed effects in GLMMs modeling traits of three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Acmispon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plant hosts inoculated with five soils in the Common Host Experiment. P = PC2 for non-nitrogen soil traits. I = inoculum type (live vs. sterilized). H = host line (</w:t>
      </w:r>
      <w:r w:rsidRPr="00D8333C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D8333C"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Anz13.04, </w:t>
      </w:r>
      <w:r w:rsidRPr="00D8333C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D8333C">
        <w:rPr>
          <w:rFonts w:ascii="Times New Roman" w:hAnsi="Times New Roman" w:cs="Times New Roman"/>
          <w:i/>
          <w:iCs/>
          <w:sz w:val="24"/>
          <w:szCs w:val="24"/>
        </w:rPr>
        <w:t>strigosus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Cla12.04, or </w:t>
      </w:r>
      <w:r w:rsidRPr="00D8333C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D8333C">
        <w:rPr>
          <w:rFonts w:ascii="Times New Roman" w:hAnsi="Times New Roman" w:cs="Times New Roman"/>
          <w:i/>
          <w:iCs/>
          <w:sz w:val="24"/>
          <w:szCs w:val="24"/>
        </w:rPr>
        <w:t>heermannii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For </w:t>
      </w:r>
      <w:proofErr w:type="gramStart"/>
      <w:r>
        <w:rPr>
          <w:rFonts w:ascii="Times New Roman" w:hAnsi="Times New Roman" w:cs="Times New Roman"/>
          <w:sz w:val="24"/>
          <w:szCs w:val="24"/>
        </w:rPr>
        <w:t>log(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Total plant mass)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Root:shoot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ratio, n = 290 plants. For other responses, n = 149-150 plants. </w:t>
      </w:r>
      <w:r w:rsidRPr="00542FF4">
        <w:rPr>
          <w:rFonts w:ascii="Times New Roman" w:hAnsi="Times New Roman" w:cs="Times New Roman"/>
          <w:sz w:val="24"/>
          <w:szCs w:val="24"/>
        </w:rPr>
        <w:t xml:space="preserve">* </w:t>
      </w:r>
      <w:r w:rsidRPr="00E053C3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FF4">
        <w:rPr>
          <w:rFonts w:ascii="Times New Roman" w:hAnsi="Times New Roman" w:cs="Times New Roman"/>
          <w:sz w:val="24"/>
          <w:szCs w:val="24"/>
        </w:rPr>
        <w:t xml:space="preserve">&lt; 0.05, ** </w:t>
      </w:r>
      <w:r w:rsidRPr="00E053C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2FF4">
        <w:rPr>
          <w:rFonts w:ascii="Times New Roman" w:hAnsi="Times New Roman" w:cs="Times New Roman"/>
          <w:sz w:val="24"/>
          <w:szCs w:val="24"/>
        </w:rPr>
        <w:t xml:space="preserve"> &lt; 0.001, *** </w:t>
      </w:r>
      <w:r w:rsidRPr="00E053C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2FF4">
        <w:rPr>
          <w:rFonts w:ascii="Times New Roman" w:hAnsi="Times New Roman" w:cs="Times New Roman"/>
          <w:sz w:val="24"/>
          <w:szCs w:val="24"/>
        </w:rPr>
        <w:t xml:space="preserve"> &lt; 0.0001, † </w:t>
      </w:r>
      <w:r w:rsidRPr="00E053C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42FF4">
        <w:rPr>
          <w:rFonts w:ascii="Times New Roman" w:hAnsi="Times New Roman" w:cs="Times New Roman"/>
          <w:sz w:val="24"/>
          <w:szCs w:val="24"/>
        </w:rPr>
        <w:t xml:space="preserve"> &lt; 0.1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2340"/>
        <w:gridCol w:w="810"/>
        <w:gridCol w:w="1170"/>
        <w:gridCol w:w="1170"/>
        <w:gridCol w:w="815"/>
        <w:gridCol w:w="810"/>
        <w:gridCol w:w="990"/>
        <w:gridCol w:w="1074"/>
      </w:tblGrid>
      <w:tr w:rsidR="00547B4A" w14:paraId="77F606C8" w14:textId="77777777" w:rsidTr="00547B4A">
        <w:tc>
          <w:tcPr>
            <w:tcW w:w="2605" w:type="dxa"/>
            <w:gridSpan w:val="2"/>
            <w:vMerge w:val="restart"/>
            <w:tcBorders>
              <w:bottom w:val="single" w:sz="4" w:space="0" w:color="auto"/>
            </w:tcBorders>
          </w:tcPr>
          <w:p w14:paraId="2FFBBB74" w14:textId="77777777" w:rsidR="00547B4A" w:rsidRDefault="00547B4A" w:rsidP="002F6B7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Model, Response</w:t>
            </w:r>
          </w:p>
        </w:tc>
        <w:tc>
          <w:tcPr>
            <w:tcW w:w="6839" w:type="dxa"/>
            <w:gridSpan w:val="7"/>
          </w:tcPr>
          <w:p w14:paraId="67530BBC" w14:textId="77777777" w:rsidR="00547B4A" w:rsidRDefault="00547B4A" w:rsidP="002F6B7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terms</w:t>
            </w:r>
          </w:p>
        </w:tc>
      </w:tr>
      <w:tr w:rsidR="00547B4A" w14:paraId="5D90C7B1" w14:textId="77777777" w:rsidTr="00547B4A"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46F1E8B" w14:textId="77777777" w:rsidR="00547B4A" w:rsidRPr="00015E02" w:rsidRDefault="00547B4A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5F385F3" w14:textId="77777777" w:rsidR="00547B4A" w:rsidRDefault="00547B4A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0A6691C0" w14:textId="77777777" w:rsidR="00547B4A" w:rsidRPr="00015E02" w:rsidRDefault="00547B4A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 = 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BF21764" w14:textId="77777777" w:rsidR="00547B4A" w:rsidRDefault="00547B4A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1782A5A" w14:textId="77777777" w:rsidR="00547B4A" w:rsidRPr="00015E02" w:rsidRDefault="00547B4A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 = 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9FD7C0F" w14:textId="77777777" w:rsidR="00547B4A" w:rsidRDefault="00547B4A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3C8D4296" w14:textId="77777777" w:rsidR="00547B4A" w:rsidRPr="00015E02" w:rsidRDefault="00547B4A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 = 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24046FE" w14:textId="77777777" w:rsidR="00547B4A" w:rsidRDefault="00547B4A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E0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5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  <w:p w14:paraId="46F03139" w14:textId="77777777" w:rsidR="00547B4A" w:rsidRPr="00015E02" w:rsidRDefault="00547B4A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 = 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79D4555" w14:textId="77777777" w:rsidR="00547B4A" w:rsidRDefault="00547B4A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0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5E0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37797764" w14:textId="77777777" w:rsidR="00547B4A" w:rsidRPr="00015E02" w:rsidRDefault="00547B4A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 =2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9E602EE" w14:textId="77777777" w:rsidR="00547B4A" w:rsidRDefault="00547B4A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5E0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180B48DE" w14:textId="77777777" w:rsidR="00547B4A" w:rsidRPr="00015E02" w:rsidRDefault="00547B4A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 =2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03F72F6A" w14:textId="77777777" w:rsidR="00547B4A" w:rsidRDefault="00547B4A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E0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5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5E0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3CE2A2EA" w14:textId="77777777" w:rsidR="00547B4A" w:rsidRPr="00015E02" w:rsidRDefault="00547B4A" w:rsidP="002F6B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 = 2</w:t>
            </w:r>
          </w:p>
        </w:tc>
      </w:tr>
      <w:tr w:rsidR="00547B4A" w14:paraId="7CA90E96" w14:textId="77777777" w:rsidTr="00547B4A">
        <w:tc>
          <w:tcPr>
            <w:tcW w:w="2605" w:type="dxa"/>
            <w:gridSpan w:val="2"/>
            <w:tcBorders>
              <w:top w:val="single" w:sz="4" w:space="0" w:color="auto"/>
            </w:tcBorders>
            <w:vAlign w:val="bottom"/>
          </w:tcPr>
          <w:p w14:paraId="1649C598" w14:textId="50F9E97C" w:rsidR="00547B4A" w:rsidRPr="00C53EF6" w:rsidRDefault="00547B4A" w:rsidP="002F6B7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3E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onN</w:t>
            </w:r>
            <w:r w:rsidR="00D979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itrogen</w:t>
            </w:r>
            <w:r w:rsidRPr="00D97966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 xml:space="preserve">PC2 </w:t>
            </w:r>
            <w:r w:rsidRPr="00C53E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models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72E081A" w14:textId="77777777" w:rsidR="00547B4A" w:rsidRPr="00015E02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BF9838C" w14:textId="77777777" w:rsidR="00547B4A" w:rsidRPr="00015E02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E384AE2" w14:textId="77777777" w:rsidR="00547B4A" w:rsidRPr="00015E02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709D7C57" w14:textId="77777777" w:rsidR="00547B4A" w:rsidRPr="00015E02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4B8174E" w14:textId="77777777" w:rsidR="00547B4A" w:rsidRPr="00015E02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562F55D" w14:textId="77777777" w:rsidR="00547B4A" w:rsidRPr="00015E02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14:paraId="406BA516" w14:textId="77777777" w:rsidR="00547B4A" w:rsidRPr="00015E02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4A" w14:paraId="3167AF57" w14:textId="77777777" w:rsidTr="00D97966">
        <w:tc>
          <w:tcPr>
            <w:tcW w:w="265" w:type="dxa"/>
          </w:tcPr>
          <w:p w14:paraId="7CA18946" w14:textId="77777777" w:rsidR="00547B4A" w:rsidRPr="00015E02" w:rsidRDefault="00547B4A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C1C3B23" w14:textId="77777777" w:rsidR="00547B4A" w:rsidRPr="002C6873" w:rsidRDefault="00547B4A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873">
              <w:rPr>
                <w:rFonts w:ascii="Times New Roman" w:hAnsi="Times New Roman" w:cs="Times New Roman"/>
                <w:sz w:val="24"/>
                <w:szCs w:val="24"/>
              </w:rPr>
              <w:t>log(</w:t>
            </w:r>
            <w:proofErr w:type="gramEnd"/>
            <w:r w:rsidRPr="002C6873">
              <w:rPr>
                <w:rFonts w:ascii="Times New Roman" w:hAnsi="Times New Roman" w:cs="Times New Roman"/>
                <w:sz w:val="24"/>
                <w:szCs w:val="24"/>
              </w:rPr>
              <w:t>Total plant mass)</w:t>
            </w:r>
          </w:p>
        </w:tc>
        <w:tc>
          <w:tcPr>
            <w:tcW w:w="810" w:type="dxa"/>
            <w:shd w:val="clear" w:color="auto" w:fill="auto"/>
          </w:tcPr>
          <w:p w14:paraId="42159F88" w14:textId="5F4D2C43" w:rsidR="00547B4A" w:rsidRPr="00D97966" w:rsidRDefault="00A30607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</w:p>
        </w:tc>
        <w:tc>
          <w:tcPr>
            <w:tcW w:w="1170" w:type="dxa"/>
            <w:shd w:val="clear" w:color="auto" w:fill="auto"/>
          </w:tcPr>
          <w:p w14:paraId="5295FADF" w14:textId="464BA265" w:rsidR="00547B4A" w:rsidRPr="00D97966" w:rsidRDefault="00A30607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571.53***</w:t>
            </w:r>
          </w:p>
        </w:tc>
        <w:tc>
          <w:tcPr>
            <w:tcW w:w="1170" w:type="dxa"/>
            <w:shd w:val="clear" w:color="auto" w:fill="auto"/>
          </w:tcPr>
          <w:p w14:paraId="5EC62E60" w14:textId="0E5AEE56" w:rsidR="00547B4A" w:rsidRPr="00D97966" w:rsidRDefault="00A30607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182.11***</w:t>
            </w:r>
          </w:p>
        </w:tc>
        <w:tc>
          <w:tcPr>
            <w:tcW w:w="815" w:type="dxa"/>
            <w:shd w:val="clear" w:color="auto" w:fill="auto"/>
          </w:tcPr>
          <w:p w14:paraId="73EE1242" w14:textId="3C957B31" w:rsidR="00547B4A" w:rsidRPr="00D97966" w:rsidRDefault="009158E5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810" w:type="dxa"/>
            <w:shd w:val="clear" w:color="auto" w:fill="auto"/>
          </w:tcPr>
          <w:p w14:paraId="0F3F51B6" w14:textId="6359752C" w:rsidR="00547B4A" w:rsidRPr="00D97966" w:rsidRDefault="009158E5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990" w:type="dxa"/>
            <w:shd w:val="clear" w:color="auto" w:fill="auto"/>
          </w:tcPr>
          <w:p w14:paraId="0B2E5D9B" w14:textId="2AE750BA" w:rsidR="00547B4A" w:rsidRPr="00D97966" w:rsidRDefault="009158E5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55.54***</w:t>
            </w:r>
          </w:p>
        </w:tc>
        <w:tc>
          <w:tcPr>
            <w:tcW w:w="1074" w:type="dxa"/>
            <w:shd w:val="clear" w:color="auto" w:fill="auto"/>
          </w:tcPr>
          <w:p w14:paraId="0CC9B66A" w14:textId="02E8440C" w:rsidR="00547B4A" w:rsidRPr="00D97966" w:rsidRDefault="009158E5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547B4A" w14:paraId="5E446FD0" w14:textId="77777777" w:rsidTr="00D97966">
        <w:tc>
          <w:tcPr>
            <w:tcW w:w="265" w:type="dxa"/>
          </w:tcPr>
          <w:p w14:paraId="71BE643C" w14:textId="77777777" w:rsidR="00547B4A" w:rsidRPr="00015E02" w:rsidRDefault="00547B4A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0184483" w14:textId="77777777" w:rsidR="00547B4A" w:rsidRPr="002C6873" w:rsidRDefault="00547B4A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873">
              <w:rPr>
                <w:rFonts w:ascii="Times New Roman" w:hAnsi="Times New Roman" w:cs="Times New Roman"/>
                <w:sz w:val="24"/>
                <w:szCs w:val="24"/>
              </w:rPr>
              <w:t>Root:shoot</w:t>
            </w:r>
            <w:proofErr w:type="spellEnd"/>
            <w:r w:rsidRPr="002C6873">
              <w:rPr>
                <w:rFonts w:ascii="Times New Roman" w:hAnsi="Times New Roman" w:cs="Times New Roman"/>
                <w:sz w:val="24"/>
                <w:szCs w:val="24"/>
              </w:rPr>
              <w:t xml:space="preserve"> ratio</w:t>
            </w:r>
          </w:p>
        </w:tc>
        <w:tc>
          <w:tcPr>
            <w:tcW w:w="810" w:type="dxa"/>
            <w:shd w:val="clear" w:color="auto" w:fill="auto"/>
          </w:tcPr>
          <w:p w14:paraId="2E093307" w14:textId="68B67CE1" w:rsidR="00547B4A" w:rsidRPr="00D97966" w:rsidRDefault="00E67EAB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5.47*</w:t>
            </w:r>
          </w:p>
        </w:tc>
        <w:tc>
          <w:tcPr>
            <w:tcW w:w="1170" w:type="dxa"/>
            <w:shd w:val="clear" w:color="auto" w:fill="auto"/>
          </w:tcPr>
          <w:p w14:paraId="31F75A6D" w14:textId="63AFD7CD" w:rsidR="00547B4A" w:rsidRPr="00D97966" w:rsidRDefault="00E67EAB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363.94***</w:t>
            </w:r>
          </w:p>
        </w:tc>
        <w:tc>
          <w:tcPr>
            <w:tcW w:w="1170" w:type="dxa"/>
            <w:shd w:val="clear" w:color="auto" w:fill="auto"/>
          </w:tcPr>
          <w:p w14:paraId="7954DAFD" w14:textId="331779C6" w:rsidR="00547B4A" w:rsidRPr="00D97966" w:rsidRDefault="00B020CF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100.33***</w:t>
            </w:r>
          </w:p>
        </w:tc>
        <w:tc>
          <w:tcPr>
            <w:tcW w:w="815" w:type="dxa"/>
            <w:shd w:val="clear" w:color="auto" w:fill="auto"/>
          </w:tcPr>
          <w:p w14:paraId="4762227B" w14:textId="5781E9D2" w:rsidR="00547B4A" w:rsidRPr="00D97966" w:rsidRDefault="00287135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810" w:type="dxa"/>
            <w:shd w:val="clear" w:color="auto" w:fill="auto"/>
          </w:tcPr>
          <w:p w14:paraId="1AD1AB38" w14:textId="62B3A064" w:rsidR="00547B4A" w:rsidRPr="00D97966" w:rsidRDefault="00287135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</w:p>
        </w:tc>
        <w:tc>
          <w:tcPr>
            <w:tcW w:w="990" w:type="dxa"/>
            <w:shd w:val="clear" w:color="auto" w:fill="auto"/>
          </w:tcPr>
          <w:p w14:paraId="78A23159" w14:textId="06CAD286" w:rsidR="00547B4A" w:rsidRPr="00D97966" w:rsidRDefault="00287135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24.97***</w:t>
            </w:r>
          </w:p>
        </w:tc>
        <w:tc>
          <w:tcPr>
            <w:tcW w:w="1074" w:type="dxa"/>
            <w:shd w:val="clear" w:color="auto" w:fill="auto"/>
          </w:tcPr>
          <w:p w14:paraId="014C1168" w14:textId="10246096" w:rsidR="00547B4A" w:rsidRPr="00D97966" w:rsidRDefault="00AB1FB5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7.08*</w:t>
            </w:r>
          </w:p>
        </w:tc>
      </w:tr>
      <w:tr w:rsidR="00547B4A" w14:paraId="665331BC" w14:textId="77777777" w:rsidTr="00D97966">
        <w:tc>
          <w:tcPr>
            <w:tcW w:w="265" w:type="dxa"/>
          </w:tcPr>
          <w:p w14:paraId="02825EC7" w14:textId="77777777" w:rsidR="00547B4A" w:rsidRPr="00015E02" w:rsidRDefault="00547B4A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E7A998F" w14:textId="77777777" w:rsidR="00547B4A" w:rsidRPr="002C6873" w:rsidRDefault="00547B4A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73">
              <w:rPr>
                <w:rFonts w:ascii="Times New Roman" w:hAnsi="Times New Roman" w:cs="Times New Roman"/>
                <w:sz w:val="24"/>
                <w:szCs w:val="24"/>
              </w:rPr>
              <w:t>Plant relative growth</w:t>
            </w:r>
          </w:p>
        </w:tc>
        <w:tc>
          <w:tcPr>
            <w:tcW w:w="810" w:type="dxa"/>
            <w:shd w:val="clear" w:color="auto" w:fill="auto"/>
          </w:tcPr>
          <w:p w14:paraId="2061F5AB" w14:textId="71F19ABD" w:rsidR="00547B4A" w:rsidRPr="00D97966" w:rsidRDefault="00625848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1170" w:type="dxa"/>
            <w:shd w:val="clear" w:color="auto" w:fill="auto"/>
          </w:tcPr>
          <w:p w14:paraId="691A6F1F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625D579" w14:textId="681C2A68" w:rsidR="00547B4A" w:rsidRPr="00D97966" w:rsidRDefault="00625848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50.51***</w:t>
            </w:r>
          </w:p>
        </w:tc>
        <w:tc>
          <w:tcPr>
            <w:tcW w:w="815" w:type="dxa"/>
            <w:shd w:val="clear" w:color="auto" w:fill="auto"/>
          </w:tcPr>
          <w:p w14:paraId="647B5B4C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B6A525E" w14:textId="0F4AE8AC" w:rsidR="00547B4A" w:rsidRPr="00D97966" w:rsidRDefault="00625848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shd w:val="clear" w:color="auto" w:fill="auto"/>
          </w:tcPr>
          <w:p w14:paraId="68E6BF3B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7743279A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47B4A" w14:paraId="19620753" w14:textId="77777777" w:rsidTr="00D97966">
        <w:tc>
          <w:tcPr>
            <w:tcW w:w="265" w:type="dxa"/>
          </w:tcPr>
          <w:p w14:paraId="20A7DDA1" w14:textId="77777777" w:rsidR="00547B4A" w:rsidRPr="00015E02" w:rsidRDefault="00547B4A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2EE2547" w14:textId="77777777" w:rsidR="00547B4A" w:rsidRPr="002C6873" w:rsidRDefault="00547B4A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73">
              <w:rPr>
                <w:rFonts w:ascii="Times New Roman" w:hAnsi="Times New Roman" w:cs="Times New Roman"/>
                <w:sz w:val="24"/>
                <w:szCs w:val="24"/>
              </w:rPr>
              <w:t>Red nodule frequency</w:t>
            </w:r>
          </w:p>
        </w:tc>
        <w:tc>
          <w:tcPr>
            <w:tcW w:w="810" w:type="dxa"/>
            <w:shd w:val="clear" w:color="auto" w:fill="auto"/>
          </w:tcPr>
          <w:p w14:paraId="6519130C" w14:textId="47D29055" w:rsidR="00547B4A" w:rsidRPr="00D97966" w:rsidRDefault="00EC7B9F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1170" w:type="dxa"/>
            <w:shd w:val="clear" w:color="auto" w:fill="auto"/>
          </w:tcPr>
          <w:p w14:paraId="0DFC8FAD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D208AEF" w14:textId="27346536" w:rsidR="00547B4A" w:rsidRPr="00D97966" w:rsidRDefault="00EC7B9F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45.44***</w:t>
            </w:r>
          </w:p>
        </w:tc>
        <w:tc>
          <w:tcPr>
            <w:tcW w:w="815" w:type="dxa"/>
            <w:shd w:val="clear" w:color="auto" w:fill="auto"/>
          </w:tcPr>
          <w:p w14:paraId="547EB74F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C4B2C4A" w14:textId="19108939" w:rsidR="00547B4A" w:rsidRPr="00D97966" w:rsidRDefault="00EC7B9F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  <w:tc>
          <w:tcPr>
            <w:tcW w:w="990" w:type="dxa"/>
            <w:shd w:val="clear" w:color="auto" w:fill="auto"/>
          </w:tcPr>
          <w:p w14:paraId="0AEEDD84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08B4C123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47B4A" w14:paraId="524F874A" w14:textId="77777777" w:rsidTr="00D97966">
        <w:tc>
          <w:tcPr>
            <w:tcW w:w="265" w:type="dxa"/>
          </w:tcPr>
          <w:p w14:paraId="60BFCA0D" w14:textId="77777777" w:rsidR="00547B4A" w:rsidRPr="00015E02" w:rsidRDefault="00547B4A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8B738D4" w14:textId="77777777" w:rsidR="00547B4A" w:rsidRPr="002C6873" w:rsidRDefault="00547B4A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73">
              <w:rPr>
                <w:rFonts w:ascii="Times New Roman" w:hAnsi="Times New Roman" w:cs="Times New Roman"/>
                <w:sz w:val="24"/>
                <w:szCs w:val="24"/>
              </w:rPr>
              <w:t>Total nodule mass</w:t>
            </w:r>
          </w:p>
        </w:tc>
        <w:tc>
          <w:tcPr>
            <w:tcW w:w="810" w:type="dxa"/>
            <w:shd w:val="clear" w:color="auto" w:fill="auto"/>
          </w:tcPr>
          <w:p w14:paraId="680BEA44" w14:textId="0AB29E1B" w:rsidR="00547B4A" w:rsidRPr="00D97966" w:rsidRDefault="005E7711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4.28*</w:t>
            </w:r>
          </w:p>
        </w:tc>
        <w:tc>
          <w:tcPr>
            <w:tcW w:w="1170" w:type="dxa"/>
            <w:shd w:val="clear" w:color="auto" w:fill="auto"/>
          </w:tcPr>
          <w:p w14:paraId="2C2716F5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2A89030" w14:textId="7BC2983A" w:rsidR="00547B4A" w:rsidRPr="00D97966" w:rsidRDefault="0078195B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20.17***</w:t>
            </w:r>
          </w:p>
        </w:tc>
        <w:tc>
          <w:tcPr>
            <w:tcW w:w="815" w:type="dxa"/>
            <w:shd w:val="clear" w:color="auto" w:fill="auto"/>
          </w:tcPr>
          <w:p w14:paraId="47B083D0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9BD9E80" w14:textId="3C3D12E6" w:rsidR="00547B4A" w:rsidRPr="00D97966" w:rsidRDefault="005E7711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990" w:type="dxa"/>
            <w:shd w:val="clear" w:color="auto" w:fill="auto"/>
          </w:tcPr>
          <w:p w14:paraId="5A766978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0BB8F9B0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47B4A" w14:paraId="04F5EEFC" w14:textId="77777777" w:rsidTr="00D97966">
        <w:tc>
          <w:tcPr>
            <w:tcW w:w="265" w:type="dxa"/>
          </w:tcPr>
          <w:p w14:paraId="5005FE1E" w14:textId="77777777" w:rsidR="00547B4A" w:rsidRPr="00015E02" w:rsidRDefault="00547B4A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0F2B5BE" w14:textId="77777777" w:rsidR="00547B4A" w:rsidRPr="002C6873" w:rsidRDefault="00547B4A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73">
              <w:rPr>
                <w:rFonts w:ascii="Times New Roman" w:hAnsi="Times New Roman" w:cs="Times New Roman"/>
                <w:sz w:val="24"/>
                <w:szCs w:val="24"/>
              </w:rPr>
              <w:t>Total nodule count</w:t>
            </w:r>
          </w:p>
        </w:tc>
        <w:tc>
          <w:tcPr>
            <w:tcW w:w="810" w:type="dxa"/>
            <w:shd w:val="clear" w:color="auto" w:fill="auto"/>
          </w:tcPr>
          <w:p w14:paraId="4A3302A1" w14:textId="4752A173" w:rsidR="00547B4A" w:rsidRPr="00D97966" w:rsidRDefault="00F53023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1170" w:type="dxa"/>
            <w:shd w:val="clear" w:color="auto" w:fill="auto"/>
          </w:tcPr>
          <w:p w14:paraId="21F8B4B4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D392B8A" w14:textId="3B36F593" w:rsidR="00547B4A" w:rsidRPr="00D97966" w:rsidRDefault="00F53023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33.62***</w:t>
            </w:r>
          </w:p>
        </w:tc>
        <w:tc>
          <w:tcPr>
            <w:tcW w:w="815" w:type="dxa"/>
            <w:shd w:val="clear" w:color="auto" w:fill="auto"/>
          </w:tcPr>
          <w:p w14:paraId="75483847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EA3F241" w14:textId="23889C1E" w:rsidR="00547B4A" w:rsidRPr="00D97966" w:rsidRDefault="00F53023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5.84†</w:t>
            </w:r>
          </w:p>
        </w:tc>
        <w:tc>
          <w:tcPr>
            <w:tcW w:w="990" w:type="dxa"/>
            <w:shd w:val="clear" w:color="auto" w:fill="auto"/>
          </w:tcPr>
          <w:p w14:paraId="22918833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4422C540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47B4A" w14:paraId="0C0852B5" w14:textId="77777777" w:rsidTr="00D97966">
        <w:tc>
          <w:tcPr>
            <w:tcW w:w="265" w:type="dxa"/>
          </w:tcPr>
          <w:p w14:paraId="69DDFF01" w14:textId="77777777" w:rsidR="00547B4A" w:rsidRPr="00015E02" w:rsidRDefault="00547B4A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48CB1D1" w14:textId="77777777" w:rsidR="00547B4A" w:rsidRPr="002C6873" w:rsidRDefault="00547B4A" w:rsidP="002F6B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73">
              <w:rPr>
                <w:rFonts w:ascii="Times New Roman" w:hAnsi="Times New Roman" w:cs="Times New Roman"/>
                <w:sz w:val="24"/>
                <w:szCs w:val="24"/>
              </w:rPr>
              <w:t>Mean nodule size</w:t>
            </w:r>
          </w:p>
        </w:tc>
        <w:tc>
          <w:tcPr>
            <w:tcW w:w="810" w:type="dxa"/>
            <w:shd w:val="clear" w:color="auto" w:fill="auto"/>
          </w:tcPr>
          <w:p w14:paraId="248E5A59" w14:textId="5ED6D472" w:rsidR="00547B4A" w:rsidRPr="00D97966" w:rsidRDefault="00A90764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  <w:shd w:val="clear" w:color="auto" w:fill="auto"/>
          </w:tcPr>
          <w:p w14:paraId="042CBD63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36A2328" w14:textId="789C290A" w:rsidR="00547B4A" w:rsidRPr="00D97966" w:rsidRDefault="00A90764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815" w:type="dxa"/>
            <w:shd w:val="clear" w:color="auto" w:fill="auto"/>
          </w:tcPr>
          <w:p w14:paraId="59D3851B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2A632E7" w14:textId="11606FDD" w:rsidR="00547B4A" w:rsidRPr="00D97966" w:rsidRDefault="00A90764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966">
              <w:rPr>
                <w:rFonts w:ascii="Times New Roman" w:hAnsi="Times New Roman" w:cs="Times New Roman"/>
                <w:sz w:val="20"/>
                <w:szCs w:val="20"/>
              </w:rPr>
              <w:t>4.47</w:t>
            </w:r>
          </w:p>
        </w:tc>
        <w:tc>
          <w:tcPr>
            <w:tcW w:w="990" w:type="dxa"/>
            <w:shd w:val="clear" w:color="auto" w:fill="auto"/>
          </w:tcPr>
          <w:p w14:paraId="5CFB9671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3AC754AD" w14:textId="77777777" w:rsidR="00547B4A" w:rsidRPr="00D97966" w:rsidRDefault="00547B4A" w:rsidP="009158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77BA484D" w14:textId="269BEBC8" w:rsidR="00547B4A" w:rsidRDefault="00547B4A" w:rsidP="00AD6DA8">
      <w:pPr>
        <w:spacing w:line="276" w:lineRule="auto"/>
      </w:pPr>
    </w:p>
    <w:p w14:paraId="4F1C6DDA" w14:textId="59A6EE3E" w:rsidR="004E02E0" w:rsidRDefault="00CB072A" w:rsidP="00D97966">
      <w:pPr>
        <w:spacing w:after="0" w:line="276" w:lineRule="auto"/>
      </w:pPr>
      <w:bookmarkStart w:id="2" w:name="_Hlk89965787"/>
      <w:r w:rsidRPr="00D97966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sectPr w:rsidR="004E02E0" w:rsidSect="00C01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07B5" w14:textId="77777777" w:rsidR="00B72AB4" w:rsidRDefault="00B72AB4" w:rsidP="00C71024">
      <w:pPr>
        <w:spacing w:after="0" w:line="240" w:lineRule="auto"/>
      </w:pPr>
      <w:r>
        <w:separator/>
      </w:r>
    </w:p>
  </w:endnote>
  <w:endnote w:type="continuationSeparator" w:id="0">
    <w:p w14:paraId="28A0264C" w14:textId="77777777" w:rsidR="00B72AB4" w:rsidRDefault="00B72AB4" w:rsidP="00C7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882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341B7" w14:textId="13C82362" w:rsidR="00C71024" w:rsidRDefault="00C71024">
        <w:pPr>
          <w:pStyle w:val="Footer"/>
          <w:jc w:val="right"/>
        </w:pPr>
        <w:r>
          <w:t xml:space="preserve">ESM for “Wild legumes maintain beneficial soil rhizobia populations”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993A12" w14:textId="77777777" w:rsidR="00C71024" w:rsidRDefault="00C71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601A" w14:textId="77777777" w:rsidR="00B72AB4" w:rsidRDefault="00B72AB4" w:rsidP="00C71024">
      <w:pPr>
        <w:spacing w:after="0" w:line="240" w:lineRule="auto"/>
      </w:pPr>
      <w:r>
        <w:separator/>
      </w:r>
    </w:p>
  </w:footnote>
  <w:footnote w:type="continuationSeparator" w:id="0">
    <w:p w14:paraId="76115DF3" w14:textId="77777777" w:rsidR="00B72AB4" w:rsidRDefault="00B72AB4" w:rsidP="00C7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75E72"/>
    <w:multiLevelType w:val="hybridMultilevel"/>
    <w:tmpl w:val="F852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15"/>
    <w:rsid w:val="00014552"/>
    <w:rsid w:val="0003688D"/>
    <w:rsid w:val="00045D84"/>
    <w:rsid w:val="000528C5"/>
    <w:rsid w:val="00081E39"/>
    <w:rsid w:val="000E352E"/>
    <w:rsid w:val="001265BF"/>
    <w:rsid w:val="00155890"/>
    <w:rsid w:val="001D7D12"/>
    <w:rsid w:val="001E1684"/>
    <w:rsid w:val="001E1CF4"/>
    <w:rsid w:val="00263BD4"/>
    <w:rsid w:val="00287135"/>
    <w:rsid w:val="002D0593"/>
    <w:rsid w:val="002E3EBA"/>
    <w:rsid w:val="003516EE"/>
    <w:rsid w:val="00353630"/>
    <w:rsid w:val="003911E9"/>
    <w:rsid w:val="003E1526"/>
    <w:rsid w:val="0046573E"/>
    <w:rsid w:val="004A5DF9"/>
    <w:rsid w:val="004C7106"/>
    <w:rsid w:val="004E02E0"/>
    <w:rsid w:val="00512F11"/>
    <w:rsid w:val="00547B4A"/>
    <w:rsid w:val="00596D9A"/>
    <w:rsid w:val="005E7711"/>
    <w:rsid w:val="00625848"/>
    <w:rsid w:val="006406D7"/>
    <w:rsid w:val="00657453"/>
    <w:rsid w:val="006D5A89"/>
    <w:rsid w:val="006E0CF5"/>
    <w:rsid w:val="00705F86"/>
    <w:rsid w:val="00720624"/>
    <w:rsid w:val="00742BB5"/>
    <w:rsid w:val="0078195B"/>
    <w:rsid w:val="0079252F"/>
    <w:rsid w:val="007B1534"/>
    <w:rsid w:val="007D375F"/>
    <w:rsid w:val="00824BD1"/>
    <w:rsid w:val="00825DA1"/>
    <w:rsid w:val="00833DC1"/>
    <w:rsid w:val="008362E5"/>
    <w:rsid w:val="00895E01"/>
    <w:rsid w:val="009158E5"/>
    <w:rsid w:val="00924148"/>
    <w:rsid w:val="0093023D"/>
    <w:rsid w:val="00937015"/>
    <w:rsid w:val="00950135"/>
    <w:rsid w:val="009E06A4"/>
    <w:rsid w:val="00A02834"/>
    <w:rsid w:val="00A30607"/>
    <w:rsid w:val="00A6264D"/>
    <w:rsid w:val="00A90764"/>
    <w:rsid w:val="00A92D62"/>
    <w:rsid w:val="00AB1FB5"/>
    <w:rsid w:val="00AD6DA8"/>
    <w:rsid w:val="00B020CF"/>
    <w:rsid w:val="00B1372F"/>
    <w:rsid w:val="00B72AB4"/>
    <w:rsid w:val="00C0197F"/>
    <w:rsid w:val="00C34D20"/>
    <w:rsid w:val="00C57AA5"/>
    <w:rsid w:val="00C71024"/>
    <w:rsid w:val="00CB072A"/>
    <w:rsid w:val="00CC7EF8"/>
    <w:rsid w:val="00D9298D"/>
    <w:rsid w:val="00D97966"/>
    <w:rsid w:val="00DE7FA8"/>
    <w:rsid w:val="00E0715B"/>
    <w:rsid w:val="00E67EAB"/>
    <w:rsid w:val="00E75813"/>
    <w:rsid w:val="00E77BEE"/>
    <w:rsid w:val="00EC7B9F"/>
    <w:rsid w:val="00F53023"/>
    <w:rsid w:val="00FA2152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EF6D"/>
  <w15:chartTrackingRefBased/>
  <w15:docId w15:val="{2D39FB6E-20E6-47EB-B508-B0BEC8E7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D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024"/>
  </w:style>
  <w:style w:type="paragraph" w:styleId="Footer">
    <w:name w:val="footer"/>
    <w:basedOn w:val="Normal"/>
    <w:link w:val="FooterChar"/>
    <w:uiPriority w:val="99"/>
    <w:unhideWhenUsed/>
    <w:rsid w:val="00C7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024"/>
  </w:style>
  <w:style w:type="paragraph" w:styleId="Revision">
    <w:name w:val="Revision"/>
    <w:hidden/>
    <w:uiPriority w:val="99"/>
    <w:semiHidden/>
    <w:rsid w:val="00E77BEE"/>
    <w:pPr>
      <w:spacing w:after="0" w:line="240" w:lineRule="auto"/>
    </w:pPr>
  </w:style>
  <w:style w:type="table" w:styleId="TableGrid">
    <w:name w:val="Table Grid"/>
    <w:basedOn w:val="TableNormal"/>
    <w:uiPriority w:val="39"/>
    <w:rsid w:val="0074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2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B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BB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4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joels@ucr.edu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10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Wendlandt, Camille E</dc:creator>
  <cp:keywords/>
  <dc:description/>
  <cp:lastModifiedBy>Wendlandt, Camille E</cp:lastModifiedBy>
  <cp:revision>62</cp:revision>
  <dcterms:created xsi:type="dcterms:W3CDTF">2021-11-26T18:22:00Z</dcterms:created>
  <dcterms:modified xsi:type="dcterms:W3CDTF">2021-12-10T04:43:00Z</dcterms:modified>
</cp:coreProperties>
</file>